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950FF" w14:textId="419B9EEA" w:rsidR="00356B0C" w:rsidRPr="00513A45" w:rsidRDefault="00CF06D4">
      <w:pPr>
        <w:pStyle w:val="affc"/>
        <w:rPr>
          <w:rFonts w:eastAsia="宋体"/>
          <w:b/>
          <w:bCs w:val="0"/>
        </w:rPr>
      </w:pPr>
      <w:bookmarkStart w:id="0" w:name="_Toc92513360"/>
      <w:bookmarkStart w:id="1" w:name="_Ref399006623"/>
      <w:r w:rsidRPr="00513A45">
        <w:rPr>
          <w:b/>
          <w:bCs w:val="0"/>
        </w:rPr>
        <w:t>3GPP TSG-</w:t>
      </w:r>
      <w:r w:rsidRPr="00513A45">
        <w:rPr>
          <w:rFonts w:eastAsia="宋体"/>
          <w:b/>
          <w:bCs w:val="0"/>
        </w:rPr>
        <w:t xml:space="preserve">RAN WG4 Meeting #118   </w:t>
      </w:r>
      <w:r w:rsidRPr="00513A45">
        <w:rPr>
          <w:rFonts w:cs="Arial"/>
          <w:b/>
          <w:bCs w:val="0"/>
          <w:sz w:val="20"/>
        </w:rPr>
        <w:t xml:space="preserve">        </w:t>
      </w:r>
      <w:r w:rsidRPr="00513A45">
        <w:rPr>
          <w:rFonts w:eastAsia="宋体" w:hint="eastAsia"/>
          <w:b/>
          <w:bCs w:val="0"/>
        </w:rPr>
        <w:t xml:space="preserve">            </w:t>
      </w:r>
      <w:r w:rsidRPr="00513A45">
        <w:rPr>
          <w:rFonts w:eastAsia="宋体"/>
          <w:b/>
          <w:bCs w:val="0"/>
        </w:rPr>
        <w:t xml:space="preserve">  </w:t>
      </w:r>
      <w:r w:rsidRPr="00513A45">
        <w:rPr>
          <w:rFonts w:eastAsia="宋体" w:hint="eastAsia"/>
          <w:b/>
          <w:bCs w:val="0"/>
        </w:rPr>
        <w:t xml:space="preserve">                </w:t>
      </w:r>
      <w:r w:rsidRPr="00513A45">
        <w:rPr>
          <w:rFonts w:eastAsia="宋体"/>
          <w:b/>
          <w:bCs w:val="0"/>
        </w:rPr>
        <w:t xml:space="preserve"> </w:t>
      </w:r>
      <w:r w:rsidR="00513A45" w:rsidRPr="00513A45">
        <w:rPr>
          <w:rFonts w:eastAsia="宋体"/>
          <w:b/>
          <w:bCs w:val="0"/>
        </w:rPr>
        <w:t xml:space="preserve"> </w:t>
      </w:r>
      <w:r w:rsidRPr="00513A45">
        <w:rPr>
          <w:rFonts w:eastAsia="宋体"/>
          <w:b/>
          <w:bCs w:val="0"/>
        </w:rPr>
        <w:t xml:space="preserve"> R4-2</w:t>
      </w:r>
      <w:r w:rsidR="0065619E" w:rsidRPr="00513A45">
        <w:rPr>
          <w:rFonts w:eastAsia="宋体"/>
          <w:b/>
          <w:bCs w:val="0"/>
        </w:rPr>
        <w:t>60</w:t>
      </w:r>
      <w:r w:rsidR="00B0004C" w:rsidRPr="00513A45">
        <w:rPr>
          <w:rFonts w:eastAsia="宋体"/>
          <w:b/>
          <w:bCs w:val="0"/>
        </w:rPr>
        <w:t>0891</w:t>
      </w:r>
    </w:p>
    <w:p w14:paraId="6E55014E" w14:textId="77777777" w:rsidR="00356B0C" w:rsidRPr="00513A45" w:rsidRDefault="00CF06D4">
      <w:pPr>
        <w:pStyle w:val="affc"/>
        <w:rPr>
          <w:rFonts w:eastAsia="宋体"/>
          <w:b/>
          <w:bCs w:val="0"/>
        </w:rPr>
      </w:pPr>
      <w:r w:rsidRPr="00513A45">
        <w:rPr>
          <w:rFonts w:eastAsia="宋体"/>
          <w:b/>
          <w:bCs w:val="0"/>
        </w:rPr>
        <w:t>Gothenburg, Sweden, Feb. 09 – 13, 2026</w:t>
      </w:r>
    </w:p>
    <w:p w14:paraId="4E1FEFCB" w14:textId="77777777" w:rsidR="00356B0C" w:rsidRDefault="00356B0C">
      <w:pPr>
        <w:pStyle w:val="affc"/>
        <w:rPr>
          <w:rFonts w:eastAsia="宋体"/>
        </w:rPr>
      </w:pPr>
    </w:p>
    <w:p w14:paraId="3A3F0C4C" w14:textId="77777777" w:rsidR="00356B0C" w:rsidRDefault="00CF06D4" w:rsidP="00513A45">
      <w:pPr>
        <w:tabs>
          <w:tab w:val="left" w:pos="1985"/>
        </w:tabs>
        <w:ind w:leftChars="0" w:left="0"/>
        <w:jc w:val="both"/>
        <w:rPr>
          <w:rFonts w:ascii="Arial" w:hAnsi="Arial" w:cs="Arial"/>
          <w:b/>
        </w:rPr>
      </w:pPr>
      <w:r>
        <w:rPr>
          <w:rFonts w:ascii="Arial" w:hAnsi="Arial" w:cs="Arial"/>
          <w:b/>
        </w:rPr>
        <w:t xml:space="preserve">Source: </w:t>
      </w:r>
      <w:r>
        <w:rPr>
          <w:rFonts w:ascii="Arial" w:hAnsi="Arial" w:cs="Arial"/>
          <w:b/>
        </w:rPr>
        <w:tab/>
      </w:r>
      <w:r>
        <w:rPr>
          <w:rFonts w:ascii="Arial" w:hAnsi="Arial" w:cs="Arial"/>
        </w:rPr>
        <w:t>Huawei</w:t>
      </w:r>
      <w:r>
        <w:rPr>
          <w:rFonts w:ascii="Arial" w:hAnsi="Arial" w:cs="Arial" w:hint="eastAsia"/>
        </w:rPr>
        <w:t>, Hi</w:t>
      </w:r>
      <w:r>
        <w:rPr>
          <w:rFonts w:ascii="Arial" w:hAnsi="Arial" w:cs="Arial"/>
        </w:rPr>
        <w:t>S</w:t>
      </w:r>
      <w:r>
        <w:rPr>
          <w:rFonts w:ascii="Arial" w:hAnsi="Arial" w:cs="Arial" w:hint="eastAsia"/>
        </w:rPr>
        <w:t>ilicon</w:t>
      </w:r>
    </w:p>
    <w:p w14:paraId="1FC79960" w14:textId="21A38DFB" w:rsidR="00356B0C" w:rsidRDefault="00CF06D4" w:rsidP="00513A45">
      <w:pPr>
        <w:ind w:leftChars="0" w:left="1985" w:hanging="1985"/>
        <w:jc w:val="both"/>
        <w:rPr>
          <w:rFonts w:ascii="Arial" w:hAnsi="Arial" w:cs="Arial"/>
        </w:rPr>
      </w:pPr>
      <w:r>
        <w:rPr>
          <w:rFonts w:ascii="Arial" w:hAnsi="Arial" w:cs="Arial"/>
          <w:b/>
        </w:rPr>
        <w:t>Title:</w:t>
      </w:r>
      <w:r>
        <w:rPr>
          <w:rFonts w:ascii="Arial" w:hAnsi="Arial" w:cs="Arial"/>
        </w:rPr>
        <w:t xml:space="preserve"> </w:t>
      </w:r>
      <w:r>
        <w:rPr>
          <w:rFonts w:ascii="Arial" w:hAnsi="Arial" w:cs="Arial"/>
        </w:rPr>
        <w:tab/>
      </w:r>
      <w:bookmarkStart w:id="2" w:name="OLE_LINK1"/>
      <w:r w:rsidR="0065619E">
        <w:rPr>
          <w:rFonts w:ascii="Arial" w:hAnsi="Arial" w:cs="Arial"/>
        </w:rPr>
        <w:t>O</w:t>
      </w:r>
      <w:r>
        <w:rPr>
          <w:rFonts w:ascii="Arial" w:hAnsi="Arial" w:cs="Arial"/>
        </w:rPr>
        <w:t>n UE output power requirements for 6G</w:t>
      </w:r>
      <w:bookmarkEnd w:id="2"/>
    </w:p>
    <w:p w14:paraId="4753C294" w14:textId="77777777" w:rsidR="00356B0C" w:rsidRDefault="00CF06D4" w:rsidP="00513A45">
      <w:pPr>
        <w:ind w:leftChars="0" w:left="1985" w:hanging="1985"/>
        <w:jc w:val="both"/>
        <w:rPr>
          <w:rFonts w:ascii="Arial" w:hAnsi="Arial" w:cs="Arial"/>
        </w:rPr>
      </w:pPr>
      <w:r>
        <w:rPr>
          <w:rFonts w:ascii="Arial" w:hAnsi="Arial" w:cs="Arial" w:hint="eastAsia"/>
          <w:b/>
        </w:rPr>
        <w:t>Agenda Item:</w:t>
      </w:r>
      <w:r>
        <w:rPr>
          <w:rFonts w:ascii="Arial" w:hAnsi="Arial" w:cs="Arial" w:hint="eastAsia"/>
        </w:rPr>
        <w:tab/>
      </w:r>
      <w:r>
        <w:rPr>
          <w:rFonts w:ascii="Arial" w:hAnsi="Arial" w:cs="Arial"/>
        </w:rPr>
        <w:t>8.3.1</w:t>
      </w:r>
    </w:p>
    <w:p w14:paraId="735C8546" w14:textId="77777777" w:rsidR="00356B0C" w:rsidRDefault="00CF06D4" w:rsidP="00513A45">
      <w:pPr>
        <w:tabs>
          <w:tab w:val="left" w:pos="1985"/>
        </w:tabs>
        <w:ind w:leftChars="0" w:left="0"/>
        <w:jc w:val="both"/>
        <w:rPr>
          <w:rFonts w:ascii="Arial" w:hAnsi="Arial" w:cs="Arial"/>
        </w:rPr>
      </w:pPr>
      <w:r>
        <w:rPr>
          <w:rFonts w:ascii="Arial" w:hAnsi="Arial" w:cs="Arial"/>
          <w:b/>
        </w:rPr>
        <w:t>Document for:</w:t>
      </w:r>
      <w:r>
        <w:rPr>
          <w:rFonts w:ascii="Arial" w:hAnsi="Arial" w:cs="Arial"/>
        </w:rPr>
        <w:tab/>
        <w:t>Approval</w:t>
      </w:r>
    </w:p>
    <w:bookmarkEnd w:id="0"/>
    <w:bookmarkEnd w:id="1"/>
    <w:p w14:paraId="3F71C2A5" w14:textId="77777777" w:rsidR="00356B0C" w:rsidRDefault="00CF06D4">
      <w:pPr>
        <w:pStyle w:val="10"/>
        <w:rPr>
          <w:rFonts w:eastAsia="宋体"/>
        </w:rPr>
      </w:pPr>
      <w:r>
        <w:rPr>
          <w:rFonts w:eastAsia="宋体" w:hint="eastAsia"/>
        </w:rPr>
        <w:t>Introduction</w:t>
      </w:r>
    </w:p>
    <w:p w14:paraId="0A45034B" w14:textId="77777777" w:rsidR="00356B0C" w:rsidRPr="008A50E0" w:rsidRDefault="00CF06D4" w:rsidP="0086505B">
      <w:pPr>
        <w:ind w:leftChars="0" w:left="0"/>
        <w:jc w:val="both"/>
      </w:pPr>
      <w:r w:rsidRPr="008A50E0">
        <w:t>Further to our previous contributions, we share our views on the open issues for UE RF as listed in the WF [1].</w:t>
      </w:r>
    </w:p>
    <w:p w14:paraId="149C1570" w14:textId="77777777" w:rsidR="00356B0C" w:rsidRDefault="00CF06D4">
      <w:pPr>
        <w:pStyle w:val="10"/>
        <w:rPr>
          <w:rFonts w:eastAsia="宋体"/>
        </w:rPr>
      </w:pPr>
      <w:r>
        <w:rPr>
          <w:rFonts w:eastAsia="宋体" w:hint="eastAsia"/>
        </w:rPr>
        <w:t>Discussion</w:t>
      </w:r>
    </w:p>
    <w:p w14:paraId="42EF1E36" w14:textId="77777777" w:rsidR="00356B0C" w:rsidRDefault="00CF06D4">
      <w:pPr>
        <w:pStyle w:val="2"/>
        <w:rPr>
          <w:rFonts w:eastAsiaTheme="minorEastAsia"/>
        </w:rPr>
      </w:pPr>
      <w:r>
        <w:rPr>
          <w:rFonts w:eastAsiaTheme="minorEastAsia"/>
        </w:rPr>
        <w:t>Single carrier output power</w:t>
      </w:r>
    </w:p>
    <w:p w14:paraId="6A66E41E" w14:textId="77777777" w:rsidR="00356B0C" w:rsidRPr="008A50E0" w:rsidRDefault="00CF06D4">
      <w:pPr>
        <w:ind w:left="420"/>
        <w:rPr>
          <w:b/>
          <w:bCs/>
          <w:u w:val="single"/>
        </w:rPr>
      </w:pPr>
      <w:r w:rsidRPr="008A50E0">
        <w:rPr>
          <w:b/>
          <w:bCs/>
          <w:u w:val="single"/>
        </w:rPr>
        <w:t>Issue 1: Step size between power classes</w:t>
      </w:r>
    </w:p>
    <w:tbl>
      <w:tblPr>
        <w:tblStyle w:val="aff4"/>
        <w:tblW w:w="0" w:type="auto"/>
        <w:tblLook w:val="04A0" w:firstRow="1" w:lastRow="0" w:firstColumn="1" w:lastColumn="0" w:noHBand="0" w:noVBand="1"/>
      </w:tblPr>
      <w:tblGrid>
        <w:gridCol w:w="9631"/>
      </w:tblGrid>
      <w:tr w:rsidR="00356B0C" w:rsidRPr="008A50E0" w14:paraId="159B4191" w14:textId="77777777">
        <w:trPr>
          <w:trHeight w:val="2631"/>
        </w:trPr>
        <w:tc>
          <w:tcPr>
            <w:tcW w:w="9631" w:type="dxa"/>
          </w:tcPr>
          <w:p w14:paraId="084A3F53" w14:textId="77777777" w:rsidR="00356B0C" w:rsidRPr="008A50E0" w:rsidRDefault="00CF06D4">
            <w:pPr>
              <w:snapToGrid w:val="0"/>
              <w:spacing w:after="0"/>
              <w:ind w:leftChars="39" w:left="82"/>
              <w:rPr>
                <w:szCs w:val="24"/>
                <w:highlight w:val="green"/>
              </w:rPr>
            </w:pPr>
            <w:bookmarkStart w:id="3" w:name="_Hlk219128396"/>
            <w:r w:rsidRPr="008A50E0">
              <w:rPr>
                <w:szCs w:val="24"/>
                <w:highlight w:val="green"/>
              </w:rPr>
              <w:t>RAN4 Agreement</w:t>
            </w:r>
          </w:p>
          <w:p w14:paraId="236C0043" w14:textId="77777777" w:rsidR="00356B0C" w:rsidRPr="008A50E0" w:rsidRDefault="00CF06D4">
            <w:pPr>
              <w:numPr>
                <w:ilvl w:val="0"/>
                <w:numId w:val="10"/>
              </w:numPr>
              <w:spacing w:after="120"/>
              <w:ind w:left="780"/>
              <w:rPr>
                <w:szCs w:val="24"/>
              </w:rPr>
            </w:pPr>
            <w:r w:rsidRPr="008A50E0">
              <w:rPr>
                <w:szCs w:val="24"/>
              </w:rPr>
              <w:t>Agreements for power class</w:t>
            </w:r>
          </w:p>
          <w:p w14:paraId="0152CB28" w14:textId="77777777" w:rsidR="00356B0C" w:rsidRPr="008A50E0" w:rsidRDefault="00CF06D4">
            <w:pPr>
              <w:numPr>
                <w:ilvl w:val="1"/>
                <w:numId w:val="10"/>
              </w:numPr>
              <w:spacing w:after="120"/>
              <w:ind w:left="780"/>
              <w:rPr>
                <w:rFonts w:eastAsia="MS Mincho"/>
              </w:rPr>
            </w:pPr>
            <w:r w:rsidRPr="008A50E0">
              <w:rPr>
                <w:szCs w:val="24"/>
              </w:rPr>
              <w:t>Further study step size between power classes. Encourage further inputs considering e.g.</w:t>
            </w:r>
          </w:p>
          <w:p w14:paraId="60487593" w14:textId="77777777" w:rsidR="00356B0C" w:rsidRPr="008A50E0" w:rsidRDefault="00CF06D4">
            <w:pPr>
              <w:numPr>
                <w:ilvl w:val="2"/>
                <w:numId w:val="10"/>
              </w:numPr>
              <w:spacing w:after="120"/>
              <w:ind w:left="780"/>
              <w:rPr>
                <w:rFonts w:eastAsia="MS Mincho"/>
              </w:rPr>
            </w:pPr>
            <w:r w:rsidRPr="008A50E0">
              <w:rPr>
                <w:szCs w:val="24"/>
              </w:rPr>
              <w:t>Benefits/drawbacks of potential finer granularity between power classes</w:t>
            </w:r>
          </w:p>
          <w:p w14:paraId="56D38382" w14:textId="77777777" w:rsidR="00356B0C" w:rsidRPr="008A50E0" w:rsidRDefault="00CF06D4">
            <w:pPr>
              <w:numPr>
                <w:ilvl w:val="3"/>
                <w:numId w:val="10"/>
              </w:numPr>
              <w:spacing w:after="120"/>
              <w:ind w:left="780"/>
              <w:rPr>
                <w:rFonts w:eastAsia="MS Mincho"/>
              </w:rPr>
            </w:pPr>
            <w:r w:rsidRPr="008A50E0">
              <w:rPr>
                <w:szCs w:val="24"/>
              </w:rPr>
              <w:t>Granularity for MPR/A-MPR requirement definition</w:t>
            </w:r>
          </w:p>
          <w:p w14:paraId="0B69083E" w14:textId="77777777" w:rsidR="00356B0C" w:rsidRPr="008A50E0" w:rsidRDefault="00CF06D4">
            <w:pPr>
              <w:numPr>
                <w:ilvl w:val="3"/>
                <w:numId w:val="10"/>
              </w:numPr>
              <w:spacing w:after="120"/>
              <w:ind w:left="780"/>
              <w:rPr>
                <w:rFonts w:eastAsia="MS Mincho"/>
              </w:rPr>
            </w:pPr>
            <w:r w:rsidRPr="008A50E0">
              <w:rPr>
                <w:szCs w:val="24"/>
              </w:rPr>
              <w:t>Output power tolerance</w:t>
            </w:r>
          </w:p>
          <w:p w14:paraId="576DE938" w14:textId="77777777" w:rsidR="00356B0C" w:rsidRPr="008A50E0" w:rsidRDefault="00CF06D4">
            <w:pPr>
              <w:numPr>
                <w:ilvl w:val="3"/>
                <w:numId w:val="10"/>
              </w:numPr>
              <w:spacing w:after="120"/>
              <w:ind w:left="780"/>
              <w:rPr>
                <w:rFonts w:eastAsia="MS Mincho"/>
              </w:rPr>
            </w:pPr>
            <w:r w:rsidRPr="008A50E0">
              <w:rPr>
                <w:szCs w:val="24"/>
              </w:rPr>
              <w:t>REFSENS requirement impact</w:t>
            </w:r>
          </w:p>
          <w:p w14:paraId="2E98FA1D" w14:textId="77777777" w:rsidR="00356B0C" w:rsidRPr="008A50E0" w:rsidRDefault="00CF06D4">
            <w:pPr>
              <w:numPr>
                <w:ilvl w:val="3"/>
                <w:numId w:val="10"/>
              </w:numPr>
              <w:spacing w:after="120"/>
              <w:ind w:left="780"/>
              <w:rPr>
                <w:rFonts w:eastAsia="MS Mincho"/>
              </w:rPr>
            </w:pPr>
            <w:r w:rsidRPr="008A50E0">
              <w:rPr>
                <w:szCs w:val="24"/>
              </w:rPr>
              <w:t>Potential regulatory restrictions</w:t>
            </w:r>
          </w:p>
          <w:p w14:paraId="3DBFEC2C" w14:textId="77777777" w:rsidR="00356B0C" w:rsidRPr="008A50E0" w:rsidRDefault="00CF06D4">
            <w:pPr>
              <w:numPr>
                <w:ilvl w:val="2"/>
                <w:numId w:val="10"/>
              </w:numPr>
              <w:spacing w:after="120"/>
              <w:ind w:left="780"/>
              <w:rPr>
                <w:rFonts w:eastAsia="MS Mincho"/>
              </w:rPr>
            </w:pPr>
            <w:r w:rsidRPr="008A50E0">
              <w:rPr>
                <w:szCs w:val="24"/>
              </w:rPr>
              <w:t>Flexibility for implementation</w:t>
            </w:r>
          </w:p>
          <w:p w14:paraId="06D43253" w14:textId="77777777" w:rsidR="00356B0C" w:rsidRPr="008A50E0" w:rsidRDefault="00356B0C">
            <w:pPr>
              <w:snapToGrid w:val="0"/>
              <w:spacing w:after="0"/>
              <w:ind w:leftChars="39" w:left="82"/>
              <w:rPr>
                <w:szCs w:val="24"/>
                <w:highlight w:val="green"/>
              </w:rPr>
            </w:pPr>
          </w:p>
        </w:tc>
      </w:tr>
      <w:bookmarkEnd w:id="3"/>
    </w:tbl>
    <w:p w14:paraId="002F1FFC" w14:textId="77777777" w:rsidR="00356B0C" w:rsidRPr="008A50E0" w:rsidRDefault="00356B0C">
      <w:pPr>
        <w:ind w:left="420"/>
      </w:pPr>
    </w:p>
    <w:p w14:paraId="2AEAC4E4" w14:textId="77777777" w:rsidR="00356B0C" w:rsidRPr="008A50E0" w:rsidRDefault="00CF06D4" w:rsidP="00436DCE">
      <w:pPr>
        <w:ind w:leftChars="0" w:left="0"/>
        <w:jc w:val="both"/>
      </w:pPr>
      <w:r w:rsidRPr="008A50E0">
        <w:t>Based on the previous discussions, the step size between power classes can be narrowed down to two options:</w:t>
      </w:r>
    </w:p>
    <w:p w14:paraId="0B90171B" w14:textId="77777777" w:rsidR="00356B0C" w:rsidRPr="008A50E0" w:rsidRDefault="00CF06D4" w:rsidP="00436DCE">
      <w:pPr>
        <w:ind w:leftChars="0" w:left="0"/>
        <w:jc w:val="both"/>
      </w:pPr>
      <w:r w:rsidRPr="008A50E0">
        <w:tab/>
        <w:t>-</w:t>
      </w:r>
      <w:r w:rsidRPr="008A50E0">
        <w:tab/>
        <w:t>Opt1: 3dB,</w:t>
      </w:r>
    </w:p>
    <w:p w14:paraId="31D3121E" w14:textId="77777777" w:rsidR="00356B0C" w:rsidRPr="008A50E0" w:rsidRDefault="00CF06D4" w:rsidP="00436DCE">
      <w:pPr>
        <w:ind w:leftChars="0" w:left="0"/>
        <w:jc w:val="both"/>
      </w:pPr>
      <w:r w:rsidRPr="008A50E0">
        <w:tab/>
        <w:t>-</w:t>
      </w:r>
      <w:r w:rsidRPr="008A50E0">
        <w:tab/>
        <w:t>Opt2: 1dB.</w:t>
      </w:r>
    </w:p>
    <w:p w14:paraId="096AE24B" w14:textId="77777777" w:rsidR="00356B0C" w:rsidRPr="008A50E0" w:rsidRDefault="00CF06D4" w:rsidP="00436DCE">
      <w:pPr>
        <w:spacing w:beforeLines="50" w:before="120"/>
        <w:ind w:leftChars="0" w:left="0"/>
        <w:jc w:val="both"/>
      </w:pPr>
      <w:r w:rsidRPr="008A50E0">
        <w:t>Option 1 is the well-established conventional way. The main drawback seems to be sometimes imposing artificial restriction on the allowed output power, since the nominal MOP (</w:t>
      </w:r>
      <w:proofErr w:type="spellStart"/>
      <w:r w:rsidRPr="008A50E0">
        <w:rPr>
          <w:i/>
          <w:iCs/>
        </w:rPr>
        <w:t>P</w:t>
      </w:r>
      <w:r w:rsidRPr="008A50E0">
        <w:rPr>
          <w:i/>
          <w:iCs/>
          <w:vertAlign w:val="subscript"/>
        </w:rPr>
        <w:t>powerclass</w:t>
      </w:r>
      <w:proofErr w:type="spellEnd"/>
      <w:r w:rsidRPr="008A50E0">
        <w:t>) is included in the upper limit (P</w:t>
      </w:r>
      <w:r w:rsidRPr="008A50E0">
        <w:rPr>
          <w:vertAlign w:val="subscript"/>
        </w:rPr>
        <w:t>CMAX_H</w:t>
      </w:r>
      <w:r w:rsidRPr="008A50E0">
        <w:t xml:space="preserve">) of </w:t>
      </w:r>
      <w:proofErr w:type="spellStart"/>
      <w:proofErr w:type="gramStart"/>
      <w:r w:rsidRPr="008A50E0">
        <w:t>Pcmax,c</w:t>
      </w:r>
      <w:proofErr w:type="spellEnd"/>
      <w:r w:rsidRPr="008A50E0">
        <w:t>.</w:t>
      </w:r>
      <w:proofErr w:type="gramEnd"/>
    </w:p>
    <w:p w14:paraId="6477FF1B" w14:textId="77777777" w:rsidR="00356B0C" w:rsidRPr="008A50E0" w:rsidRDefault="00CF06D4" w:rsidP="00436DCE">
      <w:pPr>
        <w:spacing w:beforeLines="50" w:before="120"/>
        <w:ind w:leftChars="0" w:left="0"/>
        <w:jc w:val="both"/>
      </w:pPr>
      <w:r w:rsidRPr="008A50E0">
        <w:t>Option 2 would allow small incremental power levels between conventional power classes to be reached, such as 27/28dBm between PC2 and PC1.5. One of the main challenges for option 2 is how to define the corresponding MPR/A-MPR requirements.</w:t>
      </w:r>
    </w:p>
    <w:p w14:paraId="6A82A0EC" w14:textId="77777777" w:rsidR="00356B0C" w:rsidRPr="008A50E0" w:rsidRDefault="00CF06D4" w:rsidP="00436DCE">
      <w:pPr>
        <w:spacing w:beforeLines="50" w:before="120"/>
        <w:ind w:leftChars="0" w:left="0"/>
        <w:jc w:val="both"/>
      </w:pPr>
      <w:r w:rsidRPr="008A50E0">
        <w:t xml:space="preserve">The gating factors for MPR include: SEM, ACLR and EVM. Similar MPR allowances may be defined for regions </w:t>
      </w:r>
      <w:r w:rsidRPr="008A50E0">
        <w:lastRenderedPageBreak/>
        <w:t>that are gated by the ACLR and EVM limits for a range of MOP levels. But for regions that are gated by the SEM, more MPR is usually needed with the increase of MOP.</w:t>
      </w:r>
    </w:p>
    <w:p w14:paraId="30647014" w14:textId="77777777" w:rsidR="00356B0C" w:rsidRPr="008A50E0" w:rsidRDefault="00CF06D4" w:rsidP="00436DCE">
      <w:pPr>
        <w:spacing w:beforeLines="50" w:before="120"/>
        <w:ind w:leftChars="0" w:left="0"/>
        <w:jc w:val="both"/>
      </w:pPr>
      <w:r w:rsidRPr="008A50E0">
        <w:t>The gating factors for A-MPR can be additional ACLR, additional SEM and most often additional emission requirements that are imposed on one side of the channel. Higher A-MPR is usually needed with the increase of MOP.</w:t>
      </w:r>
    </w:p>
    <w:p w14:paraId="182C69CA" w14:textId="77777777" w:rsidR="00356B0C" w:rsidRPr="008A50E0" w:rsidRDefault="00CF06D4" w:rsidP="00436DCE">
      <w:pPr>
        <w:spacing w:beforeLines="50" w:before="120"/>
        <w:ind w:leftChars="0" w:left="0"/>
        <w:jc w:val="both"/>
        <w:rPr>
          <w:b/>
          <w:bCs/>
        </w:rPr>
      </w:pPr>
      <w:r w:rsidRPr="008A50E0">
        <w:rPr>
          <w:b/>
          <w:bCs/>
        </w:rPr>
        <w:t>Observation 1-1: In summary, it seems very challenging to define only one set of MPR or A-MPR requirements that are applicable for all MOP levels (with 1dB step size). On the other hand, to define one set of MPR/A-MPR requirements for each MOP level would bring excessive overhead to the specs.</w:t>
      </w:r>
    </w:p>
    <w:p w14:paraId="7AE31889" w14:textId="77777777" w:rsidR="00356B0C" w:rsidRPr="008A50E0" w:rsidRDefault="00CF06D4" w:rsidP="00436DCE">
      <w:pPr>
        <w:spacing w:beforeLines="50" w:before="120"/>
        <w:ind w:leftChars="0" w:left="0"/>
        <w:jc w:val="both"/>
      </w:pPr>
      <w:r w:rsidRPr="008A50E0">
        <w:t xml:space="preserve">The impact to REFSENS requirements should also be studied. Usually, the amount of </w:t>
      </w:r>
      <w:proofErr w:type="spellStart"/>
      <w:r w:rsidRPr="008A50E0">
        <w:t>desens</w:t>
      </w:r>
      <w:proofErr w:type="spellEnd"/>
      <w:r w:rsidRPr="008A50E0">
        <w:t xml:space="preserve"> for single-carrier FDD or inter-band CA depends on the Tx power level. One option is to scale the REFSENS requirements based on Tx power level, e.g., based on LUT with Tx power dependent scaling factors. Another option is to define and verify REFSENS requirements based on limited number Tx power levels.</w:t>
      </w:r>
    </w:p>
    <w:p w14:paraId="75313BC6" w14:textId="77777777" w:rsidR="00356B0C" w:rsidRPr="008A50E0" w:rsidRDefault="00CF06D4" w:rsidP="00436DCE">
      <w:pPr>
        <w:spacing w:beforeLines="50" w:before="120"/>
        <w:ind w:leftChars="0" w:left="0"/>
        <w:jc w:val="both"/>
      </w:pPr>
      <w:r w:rsidRPr="008A50E0">
        <w:t xml:space="preserve">The tolerance for MOP is the allowance to address the Tx power variation caused by component variation during mass production, temperature variation during operation and </w:t>
      </w:r>
      <w:proofErr w:type="spellStart"/>
      <w:r w:rsidRPr="008A50E0">
        <w:t>etc</w:t>
      </w:r>
      <w:proofErr w:type="spellEnd"/>
      <w:r w:rsidRPr="008A50E0">
        <w:t>, known as PVT (process, voltage and temperature) variables. Such variations could happen for any target power level, and similar ranges may be needed regardless of the nominal MOP level.</w:t>
      </w:r>
    </w:p>
    <w:p w14:paraId="7CCF0C71" w14:textId="77777777" w:rsidR="00356B0C" w:rsidRPr="008A50E0" w:rsidRDefault="00CF06D4" w:rsidP="00436DCE">
      <w:pPr>
        <w:spacing w:beforeLines="50" w:before="120"/>
        <w:ind w:leftChars="0" w:left="0"/>
        <w:jc w:val="both"/>
      </w:pPr>
      <w:r w:rsidRPr="008A50E0">
        <w:t>It’s also worth noting that the nominal MOP is usually achievable only for the waveform with specific modulation and RB allocation, such as DFT-s-OFDM with BPSK/QPSK in the inner region. For other waveforms, network needs PHR from the UE to know the achievable Tx power (</w:t>
      </w:r>
      <w:proofErr w:type="spellStart"/>
      <w:proofErr w:type="gramStart"/>
      <w:r w:rsidRPr="008A50E0">
        <w:t>Pcmax,c</w:t>
      </w:r>
      <w:proofErr w:type="spellEnd"/>
      <w:proofErr w:type="gramEnd"/>
      <w:r w:rsidRPr="008A50E0">
        <w:t>).</w:t>
      </w:r>
    </w:p>
    <w:p w14:paraId="2E1D5273" w14:textId="77777777" w:rsidR="00356B0C" w:rsidRPr="008A50E0" w:rsidRDefault="00CF06D4" w:rsidP="00436DCE">
      <w:pPr>
        <w:spacing w:beforeLines="50" w:before="120"/>
        <w:ind w:leftChars="0" w:left="0"/>
        <w:jc w:val="both"/>
        <w:rPr>
          <w:b/>
          <w:bCs/>
        </w:rPr>
      </w:pPr>
      <w:r w:rsidRPr="008A50E0">
        <w:rPr>
          <w:b/>
          <w:bCs/>
        </w:rPr>
        <w:t>Observation 1-2: If MPR/A-MPR is non-zero, the max Tx power of a UE is always in the range of P</w:t>
      </w:r>
      <w:r w:rsidRPr="008A50E0">
        <w:rPr>
          <w:b/>
          <w:bCs/>
          <w:vertAlign w:val="subscript"/>
        </w:rPr>
        <w:t>CMAX_L</w:t>
      </w:r>
      <w:r w:rsidRPr="008A50E0">
        <w:rPr>
          <w:b/>
          <w:bCs/>
        </w:rPr>
        <w:t xml:space="preserve"> and P</w:t>
      </w:r>
      <w:r w:rsidRPr="008A50E0">
        <w:rPr>
          <w:b/>
          <w:bCs/>
          <w:vertAlign w:val="subscript"/>
        </w:rPr>
        <w:t>CMAX_H</w:t>
      </w:r>
      <w:r w:rsidRPr="008A50E0">
        <w:rPr>
          <w:b/>
          <w:bCs/>
        </w:rPr>
        <w:t>. Reporting the MOP with finer granularity does not necessarily reduce the uncertainty on the UE’s max Tx power from the network perspective.</w:t>
      </w:r>
    </w:p>
    <w:p w14:paraId="35F0C1F2" w14:textId="77777777" w:rsidR="00356B0C" w:rsidRPr="008A50E0" w:rsidRDefault="00CF06D4" w:rsidP="00436DCE">
      <w:pPr>
        <w:spacing w:beforeLines="50" w:before="120"/>
        <w:ind w:leftChars="0" w:left="0"/>
        <w:jc w:val="both"/>
        <w:rPr>
          <w:b/>
          <w:bCs/>
        </w:rPr>
      </w:pPr>
      <w:r w:rsidRPr="008A50E0">
        <w:rPr>
          <w:b/>
          <w:bCs/>
        </w:rPr>
        <w:t>Proposal 1-1: Further study two options of the step size for power classes: 3dB and 1dB. For 3dB step size, study how to allow output power levels between MOP and MOP+3dB. For 1dB step size, study how to address the challenges of defining corresponding MPR/A-MPR requirements as well as REFSENS requirements.</w:t>
      </w:r>
    </w:p>
    <w:p w14:paraId="704D3548" w14:textId="77777777" w:rsidR="00356B0C" w:rsidRPr="008A50E0" w:rsidRDefault="00356B0C">
      <w:pPr>
        <w:spacing w:beforeLines="50" w:before="120"/>
        <w:ind w:left="420"/>
        <w:rPr>
          <w:b/>
          <w:bCs/>
        </w:rPr>
      </w:pPr>
    </w:p>
    <w:p w14:paraId="5D01F939" w14:textId="77777777" w:rsidR="00356B0C" w:rsidRPr="008A50E0" w:rsidRDefault="00CF06D4">
      <w:pPr>
        <w:spacing w:beforeLines="50" w:before="120"/>
        <w:ind w:left="420"/>
        <w:rPr>
          <w:b/>
          <w:bCs/>
          <w:u w:val="single"/>
        </w:rPr>
      </w:pPr>
      <w:r w:rsidRPr="008A50E0">
        <w:rPr>
          <w:b/>
          <w:bCs/>
          <w:u w:val="single"/>
        </w:rPr>
        <w:t>Issue 2: Power class for multi-Tx</w:t>
      </w:r>
    </w:p>
    <w:tbl>
      <w:tblPr>
        <w:tblStyle w:val="aff4"/>
        <w:tblW w:w="0" w:type="auto"/>
        <w:tblLook w:val="04A0" w:firstRow="1" w:lastRow="0" w:firstColumn="1" w:lastColumn="0" w:noHBand="0" w:noVBand="1"/>
      </w:tblPr>
      <w:tblGrid>
        <w:gridCol w:w="9631"/>
      </w:tblGrid>
      <w:tr w:rsidR="00356B0C" w:rsidRPr="008A50E0" w14:paraId="0023FB23" w14:textId="77777777">
        <w:trPr>
          <w:trHeight w:val="2631"/>
        </w:trPr>
        <w:tc>
          <w:tcPr>
            <w:tcW w:w="9631" w:type="dxa"/>
          </w:tcPr>
          <w:p w14:paraId="2FC2F978" w14:textId="77777777" w:rsidR="00356B0C" w:rsidRPr="008A50E0" w:rsidRDefault="00CF06D4">
            <w:pPr>
              <w:snapToGrid w:val="0"/>
              <w:spacing w:after="0"/>
              <w:ind w:leftChars="39" w:left="82"/>
              <w:rPr>
                <w:szCs w:val="24"/>
                <w:highlight w:val="green"/>
              </w:rPr>
            </w:pPr>
            <w:bookmarkStart w:id="4" w:name="_Hlk219128517"/>
            <w:r w:rsidRPr="008A50E0">
              <w:rPr>
                <w:szCs w:val="24"/>
                <w:highlight w:val="green"/>
              </w:rPr>
              <w:t>RAN4 Agreement</w:t>
            </w:r>
          </w:p>
          <w:p w14:paraId="65E92A70" w14:textId="77777777" w:rsidR="00356B0C" w:rsidRPr="008A50E0" w:rsidRDefault="00CF06D4">
            <w:pPr>
              <w:numPr>
                <w:ilvl w:val="0"/>
                <w:numId w:val="10"/>
              </w:numPr>
              <w:spacing w:after="120"/>
              <w:ind w:left="780"/>
              <w:rPr>
                <w:szCs w:val="24"/>
              </w:rPr>
            </w:pPr>
            <w:r w:rsidRPr="008A50E0">
              <w:rPr>
                <w:szCs w:val="24"/>
              </w:rPr>
              <w:t>Agreements for power class</w:t>
            </w:r>
          </w:p>
          <w:p w14:paraId="3D0DED38" w14:textId="77777777" w:rsidR="00356B0C" w:rsidRPr="008A50E0" w:rsidRDefault="00CF06D4">
            <w:pPr>
              <w:numPr>
                <w:ilvl w:val="1"/>
                <w:numId w:val="10"/>
              </w:numPr>
              <w:spacing w:after="120"/>
              <w:ind w:left="780"/>
              <w:rPr>
                <w:szCs w:val="24"/>
              </w:rPr>
            </w:pPr>
            <w:r w:rsidRPr="008A50E0">
              <w:rPr>
                <w:szCs w:val="24"/>
              </w:rPr>
              <w:t>Further study power class for multi-TX case (</w:t>
            </w:r>
            <w:proofErr w:type="spellStart"/>
            <w:r w:rsidRPr="008A50E0">
              <w:rPr>
                <w:szCs w:val="24"/>
              </w:rPr>
              <w:t>TxD</w:t>
            </w:r>
            <w:proofErr w:type="spellEnd"/>
            <w:r w:rsidRPr="008A50E0">
              <w:rPr>
                <w:szCs w:val="24"/>
              </w:rPr>
              <w:t>, UL-MIMO)</w:t>
            </w:r>
          </w:p>
          <w:p w14:paraId="5A5251B6" w14:textId="77777777" w:rsidR="00356B0C" w:rsidRPr="008A50E0" w:rsidRDefault="00CF06D4">
            <w:pPr>
              <w:numPr>
                <w:ilvl w:val="2"/>
                <w:numId w:val="10"/>
              </w:numPr>
              <w:spacing w:after="120"/>
              <w:ind w:left="780"/>
              <w:rPr>
                <w:szCs w:val="24"/>
              </w:rPr>
            </w:pPr>
            <w:r w:rsidRPr="008A50E0">
              <w:rPr>
                <w:szCs w:val="24"/>
              </w:rPr>
              <w:t xml:space="preserve">Consider benefits and drawbacks for </w:t>
            </w:r>
          </w:p>
          <w:p w14:paraId="2315A130" w14:textId="77777777" w:rsidR="00356B0C" w:rsidRPr="008A50E0" w:rsidRDefault="00CF06D4">
            <w:pPr>
              <w:numPr>
                <w:ilvl w:val="3"/>
                <w:numId w:val="10"/>
              </w:numPr>
              <w:spacing w:after="120"/>
              <w:ind w:left="780"/>
              <w:rPr>
                <w:szCs w:val="24"/>
              </w:rPr>
            </w:pPr>
            <w:r w:rsidRPr="008A50E0">
              <w:rPr>
                <w:szCs w:val="24"/>
              </w:rPr>
              <w:t>Defining power class to be agnostic of number of Tx chains and/or PAs</w:t>
            </w:r>
          </w:p>
          <w:p w14:paraId="0FD581C3" w14:textId="77777777" w:rsidR="00356B0C" w:rsidRPr="008A50E0" w:rsidRDefault="00CF06D4">
            <w:pPr>
              <w:numPr>
                <w:ilvl w:val="3"/>
                <w:numId w:val="10"/>
              </w:numPr>
              <w:spacing w:after="120"/>
              <w:ind w:left="780"/>
              <w:rPr>
                <w:szCs w:val="24"/>
              </w:rPr>
            </w:pPr>
            <w:r w:rsidRPr="008A50E0">
              <w:rPr>
                <w:szCs w:val="24"/>
              </w:rPr>
              <w:t>Considering that each chain and/or PA should be able to reach maximum output power</w:t>
            </w:r>
          </w:p>
          <w:p w14:paraId="0CDFC8B8" w14:textId="77777777" w:rsidR="00356B0C" w:rsidRPr="008A50E0" w:rsidRDefault="00CF06D4">
            <w:pPr>
              <w:numPr>
                <w:ilvl w:val="2"/>
                <w:numId w:val="10"/>
              </w:numPr>
              <w:spacing w:after="120"/>
              <w:ind w:left="780"/>
              <w:rPr>
                <w:szCs w:val="24"/>
              </w:rPr>
            </w:pPr>
            <w:r w:rsidRPr="008A50E0">
              <w:rPr>
                <w:szCs w:val="24"/>
              </w:rPr>
              <w:t xml:space="preserve">Consider impact of transparent vs. non-transparent </w:t>
            </w:r>
            <w:proofErr w:type="spellStart"/>
            <w:r w:rsidRPr="008A50E0">
              <w:rPr>
                <w:szCs w:val="24"/>
              </w:rPr>
              <w:t>TxD</w:t>
            </w:r>
            <w:proofErr w:type="spellEnd"/>
          </w:p>
        </w:tc>
      </w:tr>
    </w:tbl>
    <w:bookmarkEnd w:id="4"/>
    <w:p w14:paraId="7F661B58" w14:textId="578733BC" w:rsidR="00356B0C" w:rsidRPr="008A50E0" w:rsidRDefault="00CF06D4" w:rsidP="00436DCE">
      <w:pPr>
        <w:spacing w:beforeLines="50" w:before="120"/>
        <w:ind w:leftChars="0" w:left="0"/>
        <w:jc w:val="both"/>
      </w:pPr>
      <w:r w:rsidRPr="008A50E0">
        <w:lastRenderedPageBreak/>
        <w:t xml:space="preserve">In 5GNR, the MOP of a power class is agnostic of the number of Tx chains/PAs. For example, PC2 can be implemented via 1Tx, 2Tx or 3Tx and PC1.5 via 2Tx or 4Tx. However, different MPR requirements are defined for different number of Tx chains for the same power class. The drawback of this way is that RAN4 needs to spend a significant amount of time to compare MPR from other </w:t>
      </w:r>
      <w:r w:rsidR="0065619E" w:rsidRPr="008A50E0">
        <w:t>companies</w:t>
      </w:r>
      <w:r w:rsidRPr="008A50E0">
        <w:t xml:space="preserve"> and this way makes specification more complicated.</w:t>
      </w:r>
    </w:p>
    <w:p w14:paraId="0B33F091" w14:textId="20FA171F" w:rsidR="00356B0C" w:rsidRPr="008A50E0" w:rsidRDefault="00CF06D4" w:rsidP="00436DCE">
      <w:pPr>
        <w:spacing w:beforeLines="50" w:before="120"/>
        <w:ind w:leftChars="0" w:left="0"/>
        <w:jc w:val="both"/>
      </w:pPr>
      <w:r w:rsidRPr="008A50E0">
        <w:t xml:space="preserve">For 6GR, it’s possible to simplify the specifications by defining the MPR requirements based on one Tx number, i.e., </w:t>
      </w:r>
      <w:r w:rsidR="0065619E" w:rsidRPr="008A50E0">
        <w:t>specifying</w:t>
      </w:r>
      <w:r w:rsidRPr="008A50E0">
        <w:t xml:space="preserve"> MPR based on larger number of Tx per power class, such as 2Tx for PC2 and 4Tx for PC1.5. If requirements for even larger number of </w:t>
      </w:r>
      <w:r w:rsidR="0065619E" w:rsidRPr="008A50E0">
        <w:t>Tx’s</w:t>
      </w:r>
      <w:r w:rsidRPr="008A50E0">
        <w:t xml:space="preserve"> are introduced later, additional relaxation for (limited number of) certain entries in the MPR table can be allowed and specified. Since MPR is allowed power reduction, it is not a problem in terms of MPR definition. For more specific, for smaller number of </w:t>
      </w:r>
      <w:r w:rsidR="0065619E" w:rsidRPr="008A50E0">
        <w:t>Tx’s</w:t>
      </w:r>
      <w:r w:rsidRPr="008A50E0">
        <w:t xml:space="preserve">, less MPR might be needed but it's unnecessary to define tighter requirements in the specs, since MPR for the largest Tx can cover that for smaller number of </w:t>
      </w:r>
      <w:r w:rsidR="0065619E" w:rsidRPr="008A50E0">
        <w:t>Tx’s</w:t>
      </w:r>
      <w:r w:rsidRPr="008A50E0">
        <w:t xml:space="preserve">. The potential drawback is, however, that the gain of a feature like power boosting or MPR reduction becomes blur. For example, if MPR for 4Tx is defined as 3 dB and actual MPR for 1Tx is 1 dB (but not defined). Later if MPR reduction of 0.5 dB by a certain feature is introduced, the actual reduction for 1Tx operation is not clear. The other thing is that if network considers side conditions of MPR such as length of RBs, MCS etc., in their scheduler, network has no choice but </w:t>
      </w:r>
      <w:r w:rsidR="0065619E" w:rsidRPr="008A50E0">
        <w:t>scheduling</w:t>
      </w:r>
      <w:r w:rsidRPr="008A50E0">
        <w:t xml:space="preserve"> resources in a conservative way.</w:t>
      </w:r>
    </w:p>
    <w:p w14:paraId="205605C2" w14:textId="3555C51F" w:rsidR="00356B0C" w:rsidRPr="008A50E0" w:rsidRDefault="00CF06D4" w:rsidP="00436DCE">
      <w:pPr>
        <w:spacing w:beforeLines="50" w:before="120"/>
        <w:ind w:leftChars="0" w:left="0"/>
        <w:jc w:val="both"/>
      </w:pPr>
      <w:r w:rsidRPr="008A50E0">
        <w:t>For multiple-Tx with different PA capabilities, such as PC2+PC3, what’s the applicable MPR/A-MPR if MOP of 27.8 dBm is allowed? This is a similar question that is faced when considering to define power classes with 1dB step size, e.g., what's the MPR/A-MPR for MOP=28dBm?</w:t>
      </w:r>
    </w:p>
    <w:p w14:paraId="1F27A5A4" w14:textId="77777777" w:rsidR="00356B0C" w:rsidRPr="008A50E0" w:rsidRDefault="00CF06D4" w:rsidP="00436DCE">
      <w:pPr>
        <w:spacing w:beforeLines="50" w:before="120"/>
        <w:ind w:leftChars="0" w:left="0"/>
        <w:jc w:val="both"/>
      </w:pPr>
      <w:r w:rsidRPr="008A50E0">
        <w:t>From the output power perspective, the following performance gain is expected for different PA configurations:</w:t>
      </w:r>
    </w:p>
    <w:p w14:paraId="4F0A46F7" w14:textId="77777777" w:rsidR="00356B0C" w:rsidRPr="008A50E0" w:rsidRDefault="00CF06D4" w:rsidP="00436DCE">
      <w:pPr>
        <w:spacing w:beforeLines="50" w:before="120"/>
        <w:ind w:leftChars="0" w:left="0"/>
        <w:jc w:val="both"/>
      </w:pPr>
      <w:r w:rsidRPr="008A50E0">
        <w:tab/>
      </w:r>
      <w:r w:rsidRPr="008A50E0">
        <w:tab/>
      </w:r>
      <w:r w:rsidRPr="008A50E0">
        <w:tab/>
      </w:r>
      <w:r w:rsidRPr="008A50E0">
        <w:tab/>
      </w:r>
      <w:r w:rsidRPr="008A50E0">
        <w:tab/>
        <w:t>PC2 ≤ PC2 + PC3 ≤ PC2 + PC2.</w:t>
      </w:r>
    </w:p>
    <w:p w14:paraId="58514905" w14:textId="77777777" w:rsidR="00356B0C" w:rsidRPr="008A50E0" w:rsidRDefault="00CF06D4" w:rsidP="00436DCE">
      <w:pPr>
        <w:spacing w:beforeLines="50" w:before="120"/>
        <w:ind w:leftChars="0" w:left="0"/>
        <w:jc w:val="both"/>
      </w:pPr>
      <w:r w:rsidRPr="008A50E0">
        <w:t>For the sake of simplicity, if only MPR is considered, we have:</w:t>
      </w:r>
    </w:p>
    <w:p w14:paraId="416B361C" w14:textId="77777777" w:rsidR="00356B0C" w:rsidRPr="008A50E0" w:rsidRDefault="00CF06D4" w:rsidP="00436DCE">
      <w:pPr>
        <w:spacing w:beforeLines="50" w:before="120"/>
        <w:ind w:leftChars="0" w:left="0"/>
        <w:jc w:val="both"/>
        <w:rPr>
          <w:vertAlign w:val="subscript"/>
        </w:rPr>
      </w:pPr>
      <w:r w:rsidRPr="008A50E0">
        <w:tab/>
        <w:t>26dBm – MPR</w:t>
      </w:r>
      <w:r w:rsidRPr="008A50E0">
        <w:rPr>
          <w:vertAlign w:val="subscript"/>
        </w:rPr>
        <w:t>PC2, 1Tx</w:t>
      </w:r>
      <w:r w:rsidRPr="008A50E0">
        <w:t xml:space="preserve"> ≤ 27.8dBm – MPR</w:t>
      </w:r>
      <w:r w:rsidRPr="008A50E0">
        <w:rPr>
          <w:vertAlign w:val="subscript"/>
        </w:rPr>
        <w:t>PC2+PC3</w:t>
      </w:r>
      <w:r w:rsidRPr="008A50E0">
        <w:t xml:space="preserve"> ≤ 29 – MPR</w:t>
      </w:r>
      <w:r w:rsidRPr="008A50E0">
        <w:rPr>
          <w:vertAlign w:val="subscript"/>
        </w:rPr>
        <w:t>PC1.5,2Tx</w:t>
      </w:r>
    </w:p>
    <w:p w14:paraId="49079C39" w14:textId="77777777" w:rsidR="00356B0C" w:rsidRPr="008A50E0" w:rsidRDefault="00CF06D4" w:rsidP="00436DCE">
      <w:pPr>
        <w:spacing w:beforeLines="50" w:before="120"/>
        <w:ind w:leftChars="0" w:left="0"/>
        <w:jc w:val="both"/>
      </w:pPr>
      <w:r w:rsidRPr="008A50E0">
        <w:t>And some bounds for MPR</w:t>
      </w:r>
      <w:r w:rsidRPr="008A50E0">
        <w:rPr>
          <w:vertAlign w:val="subscript"/>
        </w:rPr>
        <w:t xml:space="preserve"> PC2+PC3</w:t>
      </w:r>
      <w:r w:rsidRPr="008A50E0">
        <w:t xml:space="preserve"> can be obtained as follows, assuming the MPR for PC1.5 and PC2 are already defined:</w:t>
      </w:r>
    </w:p>
    <w:p w14:paraId="44011E8F" w14:textId="77777777" w:rsidR="00356B0C" w:rsidRPr="008A50E0" w:rsidRDefault="00CF06D4" w:rsidP="00436DCE">
      <w:pPr>
        <w:spacing w:beforeLines="50" w:before="120"/>
        <w:ind w:leftChars="0" w:left="0"/>
        <w:jc w:val="both"/>
      </w:pPr>
      <w:r w:rsidRPr="008A50E0">
        <w:tab/>
        <w:t>MPR</w:t>
      </w:r>
      <w:r w:rsidRPr="008A50E0">
        <w:rPr>
          <w:vertAlign w:val="subscript"/>
        </w:rPr>
        <w:t>PC1.5,2Tx</w:t>
      </w:r>
      <w:r w:rsidRPr="008A50E0">
        <w:t xml:space="preserve"> – 1.2dB ≤ MPR</w:t>
      </w:r>
      <w:r w:rsidRPr="008A50E0">
        <w:rPr>
          <w:vertAlign w:val="subscript"/>
        </w:rPr>
        <w:t>PC2+PC3</w:t>
      </w:r>
      <w:r w:rsidRPr="008A50E0">
        <w:t xml:space="preserve"> ≤ MPR</w:t>
      </w:r>
      <w:r w:rsidRPr="008A50E0">
        <w:rPr>
          <w:vertAlign w:val="subscript"/>
        </w:rPr>
        <w:t>PC2, 1Tx</w:t>
      </w:r>
      <w:r w:rsidRPr="008A50E0">
        <w:t xml:space="preserve"> +1.8dB.</w:t>
      </w:r>
    </w:p>
    <w:p w14:paraId="79FE2458" w14:textId="77777777" w:rsidR="00356B0C" w:rsidRPr="008A50E0" w:rsidRDefault="00356B0C" w:rsidP="00436DCE">
      <w:pPr>
        <w:spacing w:beforeLines="50" w:before="120"/>
        <w:ind w:leftChars="0" w:left="0"/>
        <w:jc w:val="both"/>
        <w:rPr>
          <w:b/>
          <w:bCs/>
        </w:rPr>
      </w:pPr>
    </w:p>
    <w:p w14:paraId="25C5405A" w14:textId="36780D54" w:rsidR="00356B0C" w:rsidRPr="008A50E0" w:rsidRDefault="00CF06D4" w:rsidP="00436DCE">
      <w:pPr>
        <w:spacing w:beforeLines="50" w:before="120"/>
        <w:ind w:leftChars="0" w:left="0"/>
        <w:jc w:val="both"/>
        <w:rPr>
          <w:b/>
          <w:bCs/>
        </w:rPr>
      </w:pPr>
      <w:r w:rsidRPr="008A50E0">
        <w:rPr>
          <w:b/>
          <w:bCs/>
        </w:rPr>
        <w:t>Proposal 1-2: It’s feasible to define power class related requirements based on one Tx number, provided that small adjustments for other Tx numbers are allowed, while drawback of this way in terms of concurrent usage of other feature like power boosting/MPR reduction and NW scheduling should be further discussed. For multi-Tx with different PA capabilities, the MPR requirements can be bounded by those for lower/higher power classes. The details are FFS.</w:t>
      </w:r>
    </w:p>
    <w:p w14:paraId="1B428441" w14:textId="77777777" w:rsidR="00356B0C" w:rsidRPr="008A50E0" w:rsidRDefault="00356B0C">
      <w:pPr>
        <w:spacing w:beforeLines="50" w:before="120"/>
        <w:ind w:left="420"/>
      </w:pPr>
    </w:p>
    <w:p w14:paraId="61D876FF" w14:textId="77777777" w:rsidR="00356B0C" w:rsidRPr="008A50E0" w:rsidRDefault="00CF06D4">
      <w:pPr>
        <w:spacing w:beforeLines="50" w:before="120"/>
        <w:ind w:left="420"/>
        <w:rPr>
          <w:b/>
          <w:bCs/>
          <w:u w:val="single"/>
        </w:rPr>
      </w:pPr>
      <w:r w:rsidRPr="008A50E0">
        <w:rPr>
          <w:b/>
          <w:bCs/>
          <w:u w:val="single"/>
        </w:rPr>
        <w:t xml:space="preserve">Issue 3: How to enable </w:t>
      </w:r>
      <w:r w:rsidRPr="008A50E0">
        <w:rPr>
          <w:b/>
          <w:bCs/>
          <w:szCs w:val="24"/>
          <w:u w:val="single"/>
        </w:rPr>
        <w:t>fully utilizing PA capabilities</w:t>
      </w:r>
    </w:p>
    <w:tbl>
      <w:tblPr>
        <w:tblStyle w:val="aff4"/>
        <w:tblW w:w="0" w:type="auto"/>
        <w:tblLook w:val="04A0" w:firstRow="1" w:lastRow="0" w:firstColumn="1" w:lastColumn="0" w:noHBand="0" w:noVBand="1"/>
      </w:tblPr>
      <w:tblGrid>
        <w:gridCol w:w="9631"/>
      </w:tblGrid>
      <w:tr w:rsidR="00356B0C" w:rsidRPr="008A50E0" w14:paraId="39275509" w14:textId="77777777">
        <w:trPr>
          <w:trHeight w:val="2631"/>
        </w:trPr>
        <w:tc>
          <w:tcPr>
            <w:tcW w:w="9631" w:type="dxa"/>
          </w:tcPr>
          <w:p w14:paraId="4859F61E" w14:textId="77777777" w:rsidR="00356B0C" w:rsidRPr="008A50E0" w:rsidRDefault="00CF06D4">
            <w:pPr>
              <w:snapToGrid w:val="0"/>
              <w:spacing w:after="0"/>
              <w:ind w:leftChars="39" w:left="82"/>
              <w:rPr>
                <w:szCs w:val="24"/>
                <w:highlight w:val="green"/>
              </w:rPr>
            </w:pPr>
            <w:r w:rsidRPr="008A50E0">
              <w:rPr>
                <w:szCs w:val="24"/>
                <w:highlight w:val="green"/>
              </w:rPr>
              <w:lastRenderedPageBreak/>
              <w:t>RAN4 Agreement</w:t>
            </w:r>
          </w:p>
          <w:p w14:paraId="3E43C2CD" w14:textId="77777777" w:rsidR="00356B0C" w:rsidRPr="008A50E0" w:rsidRDefault="00CF06D4">
            <w:pPr>
              <w:numPr>
                <w:ilvl w:val="0"/>
                <w:numId w:val="10"/>
              </w:numPr>
              <w:spacing w:after="120"/>
              <w:ind w:left="780"/>
              <w:rPr>
                <w:szCs w:val="24"/>
              </w:rPr>
            </w:pPr>
            <w:r w:rsidRPr="008A50E0">
              <w:rPr>
                <w:szCs w:val="24"/>
              </w:rPr>
              <w:t>Agreements for power class</w:t>
            </w:r>
          </w:p>
          <w:p w14:paraId="48950D83" w14:textId="77777777" w:rsidR="00356B0C" w:rsidRPr="008A50E0" w:rsidRDefault="00CF06D4">
            <w:pPr>
              <w:numPr>
                <w:ilvl w:val="1"/>
                <w:numId w:val="10"/>
              </w:numPr>
              <w:spacing w:after="120"/>
              <w:ind w:left="780"/>
              <w:rPr>
                <w:szCs w:val="24"/>
              </w:rPr>
            </w:pPr>
            <w:r w:rsidRPr="008A50E0">
              <w:rPr>
                <w:szCs w:val="24"/>
              </w:rPr>
              <w:t>Further study how to enable fully utilizing PA capabilities considering e.g.</w:t>
            </w:r>
          </w:p>
          <w:p w14:paraId="193428AB" w14:textId="77777777" w:rsidR="00356B0C" w:rsidRPr="008A50E0" w:rsidRDefault="00CF06D4">
            <w:pPr>
              <w:numPr>
                <w:ilvl w:val="2"/>
                <w:numId w:val="10"/>
              </w:numPr>
              <w:spacing w:after="120"/>
              <w:ind w:left="780"/>
              <w:rPr>
                <w:rFonts w:eastAsia="MS Mincho"/>
              </w:rPr>
            </w:pPr>
            <w:r w:rsidRPr="008A50E0">
              <w:rPr>
                <w:szCs w:val="24"/>
              </w:rPr>
              <w:t>Relaxation or removal of upper tolerance without sacrificing output power accuracy</w:t>
            </w:r>
          </w:p>
          <w:p w14:paraId="0108E5F1" w14:textId="77777777" w:rsidR="00356B0C" w:rsidRPr="008A50E0" w:rsidRDefault="00CF06D4">
            <w:pPr>
              <w:numPr>
                <w:ilvl w:val="2"/>
                <w:numId w:val="10"/>
              </w:numPr>
              <w:spacing w:after="120"/>
              <w:ind w:left="780"/>
              <w:rPr>
                <w:rFonts w:eastAsia="MS Mincho"/>
              </w:rPr>
            </w:pPr>
            <w:r w:rsidRPr="008A50E0">
              <w:rPr>
                <w:szCs w:val="24"/>
              </w:rPr>
              <w:t>Power boosting</w:t>
            </w:r>
          </w:p>
          <w:p w14:paraId="4D69FC68" w14:textId="77777777" w:rsidR="00356B0C" w:rsidRPr="008A50E0" w:rsidRDefault="00CF06D4">
            <w:pPr>
              <w:numPr>
                <w:ilvl w:val="2"/>
                <w:numId w:val="10"/>
              </w:numPr>
              <w:spacing w:after="120"/>
              <w:ind w:left="780"/>
              <w:rPr>
                <w:rFonts w:eastAsia="MS Mincho"/>
              </w:rPr>
            </w:pPr>
            <w:r w:rsidRPr="008A50E0">
              <w:rPr>
                <w:szCs w:val="24"/>
              </w:rPr>
              <w:t>Maximum power capability reporting</w:t>
            </w:r>
          </w:p>
          <w:p w14:paraId="760501EA" w14:textId="77777777" w:rsidR="00356B0C" w:rsidRPr="008A50E0" w:rsidRDefault="00CF06D4">
            <w:pPr>
              <w:numPr>
                <w:ilvl w:val="2"/>
                <w:numId w:val="10"/>
              </w:numPr>
              <w:spacing w:after="120"/>
              <w:ind w:left="780"/>
              <w:rPr>
                <w:rFonts w:eastAsia="MS Mincho"/>
              </w:rPr>
            </w:pPr>
            <w:r w:rsidRPr="008A50E0">
              <w:rPr>
                <w:szCs w:val="24"/>
              </w:rPr>
              <w:t>Removing the nominal power limit in the PCMAX upper bound</w:t>
            </w:r>
          </w:p>
        </w:tc>
      </w:tr>
    </w:tbl>
    <w:p w14:paraId="34F60AD2" w14:textId="77777777" w:rsidR="00356B0C" w:rsidRPr="008A50E0" w:rsidRDefault="00CF06D4" w:rsidP="00436DCE">
      <w:pPr>
        <w:spacing w:beforeLines="50" w:before="120"/>
        <w:ind w:leftChars="0" w:left="0"/>
        <w:jc w:val="both"/>
      </w:pPr>
      <w:r w:rsidRPr="008A50E0">
        <w:t>As discussed earlier, the tolerance for MOP is the allowance to address the Tx power variation caused by PVT variations, and it could be part the regulation requirements, especially the upper tolerance. It’s preferred not to change the tolerance.</w:t>
      </w:r>
    </w:p>
    <w:p w14:paraId="5E09D7E1" w14:textId="36A42BE7" w:rsidR="00356B0C" w:rsidRPr="008A50E0" w:rsidRDefault="00CF06D4" w:rsidP="00436DCE">
      <w:pPr>
        <w:spacing w:beforeLines="50" w:before="120"/>
        <w:ind w:leftChars="0" w:left="0"/>
        <w:jc w:val="both"/>
      </w:pPr>
      <w:r w:rsidRPr="008A50E0">
        <w:t xml:space="preserve">Power boosting has been adopted in 5G NR. The main drawback is the </w:t>
      </w:r>
      <w:r w:rsidR="0065619E" w:rsidRPr="008A50E0">
        <w:t>signaling</w:t>
      </w:r>
      <w:r w:rsidRPr="008A50E0">
        <w:t xml:space="preserve"> overhead as well as the complexity and obscurity of the corresponding requirements defined in the specs, which makes it difficult to understand and implement.</w:t>
      </w:r>
    </w:p>
    <w:p w14:paraId="3AABB86B" w14:textId="77777777" w:rsidR="00356B0C" w:rsidRPr="008A50E0" w:rsidRDefault="00CF06D4" w:rsidP="00436DCE">
      <w:pPr>
        <w:spacing w:beforeLines="50" w:before="120"/>
        <w:ind w:leftChars="0" w:left="0"/>
        <w:jc w:val="both"/>
      </w:pPr>
      <w:r w:rsidRPr="008A50E0">
        <w:t>Removing the MOP (</w:t>
      </w:r>
      <w:proofErr w:type="spellStart"/>
      <w:r w:rsidRPr="008A50E0">
        <w:t>P</w:t>
      </w:r>
      <w:r w:rsidRPr="008A50E0">
        <w:rPr>
          <w:vertAlign w:val="subscript"/>
        </w:rPr>
        <w:t>powerclass</w:t>
      </w:r>
      <w:proofErr w:type="spellEnd"/>
      <w:r w:rsidRPr="008A50E0">
        <w:t>) limit in the P</w:t>
      </w:r>
      <w:r w:rsidRPr="008A50E0">
        <w:rPr>
          <w:vertAlign w:val="subscript"/>
        </w:rPr>
        <w:t>CMAX_H</w:t>
      </w:r>
      <w:r w:rsidRPr="008A50E0">
        <w:t xml:space="preserve"> is a straightforward way to enable higher output power with little overhead. For example, the current upper bound for single carrier Tx power is:</w:t>
      </w:r>
    </w:p>
    <w:p w14:paraId="68CEA700" w14:textId="77777777" w:rsidR="00356B0C" w:rsidRPr="008A50E0" w:rsidRDefault="00CF06D4" w:rsidP="00436DCE">
      <w:pPr>
        <w:spacing w:beforeLines="50" w:before="120"/>
        <w:ind w:leftChars="0" w:left="0"/>
        <w:jc w:val="both"/>
      </w:pPr>
      <w:r w:rsidRPr="008A50E0">
        <w:tab/>
      </w:r>
      <w:r w:rsidRPr="008A50E0">
        <w:tab/>
      </w:r>
      <w:r w:rsidRPr="008A50E0">
        <w:tab/>
      </w:r>
      <w:r w:rsidRPr="008A50E0">
        <w:tab/>
      </w:r>
      <w:r w:rsidRPr="008A50E0">
        <w:tab/>
      </w:r>
      <w:proofErr w:type="spellStart"/>
      <w:r w:rsidRPr="008A50E0">
        <w:t>P</w:t>
      </w:r>
      <w:r w:rsidRPr="008A50E0">
        <w:rPr>
          <w:vertAlign w:val="subscript"/>
        </w:rPr>
        <w:t>CMAX_</w:t>
      </w:r>
      <w:proofErr w:type="gramStart"/>
      <w:r w:rsidRPr="008A50E0">
        <w:rPr>
          <w:vertAlign w:val="subscript"/>
        </w:rPr>
        <w:t>H,f</w:t>
      </w:r>
      <w:proofErr w:type="gramEnd"/>
      <w:r w:rsidRPr="008A50E0">
        <w:rPr>
          <w:vertAlign w:val="subscript"/>
        </w:rPr>
        <w:t>,c</w:t>
      </w:r>
      <w:proofErr w:type="spellEnd"/>
      <w:r w:rsidRPr="008A50E0">
        <w:t xml:space="preserve"> = MIN {</w:t>
      </w:r>
      <w:proofErr w:type="spellStart"/>
      <w:r w:rsidRPr="008A50E0">
        <w:t>P</w:t>
      </w:r>
      <w:r w:rsidRPr="008A50E0">
        <w:rPr>
          <w:vertAlign w:val="subscript"/>
        </w:rPr>
        <w:t>EMAX,c</w:t>
      </w:r>
      <w:proofErr w:type="spellEnd"/>
      <w:r w:rsidRPr="008A50E0">
        <w:t xml:space="preserve">,  </w:t>
      </w:r>
      <w:proofErr w:type="spellStart"/>
      <w:r w:rsidRPr="008A50E0">
        <w:t>P</w:t>
      </w:r>
      <w:r w:rsidRPr="008A50E0">
        <w:rPr>
          <w:vertAlign w:val="subscript"/>
        </w:rPr>
        <w:t>PowerClass</w:t>
      </w:r>
      <w:proofErr w:type="spellEnd"/>
      <w:r w:rsidRPr="008A50E0">
        <w:t xml:space="preserve"> – </w:t>
      </w:r>
      <w:proofErr w:type="spellStart"/>
      <w:r w:rsidRPr="008A50E0">
        <w:t>ΔP</w:t>
      </w:r>
      <w:r w:rsidRPr="008A50E0">
        <w:rPr>
          <w:vertAlign w:val="subscript"/>
        </w:rPr>
        <w:t>PowerClass</w:t>
      </w:r>
      <w:proofErr w:type="spellEnd"/>
      <w:r w:rsidRPr="008A50E0">
        <w:t xml:space="preserve"> </w:t>
      </w:r>
      <w:r w:rsidRPr="008A50E0">
        <w:rPr>
          <w:lang w:eastAsia="en-US"/>
        </w:rPr>
        <w:t xml:space="preserve">+ </w:t>
      </w:r>
      <w:proofErr w:type="spellStart"/>
      <w:r w:rsidRPr="008A50E0">
        <w:rPr>
          <w:lang w:eastAsia="en-US"/>
        </w:rPr>
        <w:t>ΔP</w:t>
      </w:r>
      <w:r w:rsidRPr="008A50E0">
        <w:rPr>
          <w:vertAlign w:val="subscript"/>
          <w:lang w:eastAsia="en-US"/>
        </w:rPr>
        <w:t>PowerBoost</w:t>
      </w:r>
      <w:proofErr w:type="spellEnd"/>
      <w:r w:rsidRPr="008A50E0">
        <w:t>}.</w:t>
      </w:r>
    </w:p>
    <w:p w14:paraId="5AE9ABCD" w14:textId="53351555" w:rsidR="00356B0C" w:rsidRPr="008A50E0" w:rsidRDefault="00CF06D4" w:rsidP="00436DCE">
      <w:pPr>
        <w:spacing w:beforeLines="50" w:before="120"/>
        <w:ind w:leftChars="0" w:left="0"/>
        <w:jc w:val="both"/>
      </w:pPr>
      <w:r w:rsidRPr="008A50E0">
        <w:t xml:space="preserve">By taking away </w:t>
      </w:r>
      <w:proofErr w:type="spellStart"/>
      <w:r w:rsidRPr="008A50E0">
        <w:t>P</w:t>
      </w:r>
      <w:r w:rsidRPr="008A50E0">
        <w:rPr>
          <w:vertAlign w:val="subscript"/>
        </w:rPr>
        <w:t>powerclass</w:t>
      </w:r>
      <w:proofErr w:type="spellEnd"/>
      <w:r w:rsidRPr="008A50E0">
        <w:t xml:space="preserve"> related constraint, the Tx power is only bounded by P</w:t>
      </w:r>
      <w:r w:rsidRPr="008A50E0">
        <w:rPr>
          <w:vertAlign w:val="subscript"/>
        </w:rPr>
        <w:t>EMAX</w:t>
      </w:r>
      <w:r w:rsidRPr="008A50E0">
        <w:t>, which is necessary to be kept in order for the network to have control. Alternatively, (</w:t>
      </w:r>
      <w:proofErr w:type="spellStart"/>
      <w:r w:rsidRPr="008A50E0">
        <w:t>P</w:t>
      </w:r>
      <w:r w:rsidRPr="008A50E0">
        <w:rPr>
          <w:vertAlign w:val="subscript"/>
        </w:rPr>
        <w:t>powerclass</w:t>
      </w:r>
      <w:proofErr w:type="spellEnd"/>
      <w:r w:rsidRPr="008A50E0">
        <w:t xml:space="preserve"> + [2]</w:t>
      </w:r>
      <w:r w:rsidR="0065619E">
        <w:t xml:space="preserve"> </w:t>
      </w:r>
      <w:r w:rsidRPr="008A50E0">
        <w:t>dB) may be used</w:t>
      </w:r>
      <w:r w:rsidRPr="008A50E0">
        <w:rPr>
          <w:b/>
          <w:bCs/>
        </w:rPr>
        <w:t xml:space="preserve"> </w:t>
      </w:r>
      <w:r w:rsidRPr="008A50E0">
        <w:t>to ease the concern on “no upper limit”, i.e.,</w:t>
      </w:r>
    </w:p>
    <w:p w14:paraId="5170BA87" w14:textId="77777777" w:rsidR="00356B0C" w:rsidRPr="008A50E0" w:rsidRDefault="00CF06D4" w:rsidP="00436DCE">
      <w:pPr>
        <w:spacing w:beforeLines="50" w:before="120"/>
        <w:ind w:leftChars="0" w:left="0"/>
        <w:jc w:val="both"/>
      </w:pPr>
      <w:r w:rsidRPr="008A50E0">
        <w:tab/>
      </w:r>
      <w:r w:rsidRPr="008A50E0">
        <w:tab/>
      </w:r>
      <w:r w:rsidRPr="008A50E0">
        <w:tab/>
      </w:r>
      <w:r w:rsidRPr="008A50E0">
        <w:tab/>
      </w:r>
      <w:r w:rsidRPr="008A50E0">
        <w:tab/>
      </w:r>
      <w:proofErr w:type="spellStart"/>
      <w:r w:rsidRPr="008A50E0">
        <w:t>P</w:t>
      </w:r>
      <w:r w:rsidRPr="008A50E0">
        <w:rPr>
          <w:vertAlign w:val="subscript"/>
        </w:rPr>
        <w:t>CMAX_</w:t>
      </w:r>
      <w:proofErr w:type="gramStart"/>
      <w:r w:rsidRPr="008A50E0">
        <w:rPr>
          <w:vertAlign w:val="subscript"/>
        </w:rPr>
        <w:t>H,f</w:t>
      </w:r>
      <w:proofErr w:type="gramEnd"/>
      <w:r w:rsidRPr="008A50E0">
        <w:rPr>
          <w:vertAlign w:val="subscript"/>
        </w:rPr>
        <w:t>,c</w:t>
      </w:r>
      <w:proofErr w:type="spellEnd"/>
      <w:r w:rsidRPr="008A50E0">
        <w:t xml:space="preserve"> = MIN {</w:t>
      </w:r>
      <w:proofErr w:type="spellStart"/>
      <w:r w:rsidRPr="008A50E0">
        <w:t>P</w:t>
      </w:r>
      <w:r w:rsidRPr="008A50E0">
        <w:rPr>
          <w:vertAlign w:val="subscript"/>
        </w:rPr>
        <w:t>EMAX,c</w:t>
      </w:r>
      <w:proofErr w:type="spellEnd"/>
      <w:r w:rsidRPr="008A50E0">
        <w:t xml:space="preserve">,  </w:t>
      </w:r>
      <w:proofErr w:type="spellStart"/>
      <w:r w:rsidRPr="008A50E0">
        <w:t>P</w:t>
      </w:r>
      <w:r w:rsidRPr="008A50E0">
        <w:rPr>
          <w:vertAlign w:val="subscript"/>
        </w:rPr>
        <w:t>PowerClass</w:t>
      </w:r>
      <w:proofErr w:type="spellEnd"/>
      <w:r w:rsidRPr="008A50E0">
        <w:t xml:space="preserve"> + [2]dB}.</w:t>
      </w:r>
    </w:p>
    <w:p w14:paraId="6CB0ABD3" w14:textId="77777777" w:rsidR="00356B0C" w:rsidRPr="008A50E0" w:rsidRDefault="00CF06D4" w:rsidP="00436DCE">
      <w:pPr>
        <w:spacing w:beforeLines="50" w:before="120"/>
        <w:ind w:leftChars="0" w:left="0"/>
        <w:jc w:val="both"/>
        <w:rPr>
          <w:b/>
          <w:bCs/>
        </w:rPr>
      </w:pPr>
      <w:r w:rsidRPr="008A50E0">
        <w:rPr>
          <w:b/>
          <w:bCs/>
        </w:rPr>
        <w:t>Proposal 1-3: Further study the following options:</w:t>
      </w:r>
    </w:p>
    <w:p w14:paraId="50BCB53D" w14:textId="54450857" w:rsidR="00356B0C" w:rsidRPr="008A50E0" w:rsidRDefault="00CF06D4" w:rsidP="00436DCE">
      <w:pPr>
        <w:spacing w:beforeLines="50" w:before="120"/>
        <w:ind w:leftChars="0" w:left="0"/>
        <w:jc w:val="both"/>
        <w:rPr>
          <w:b/>
          <w:bCs/>
        </w:rPr>
      </w:pPr>
      <w:r w:rsidRPr="008A50E0">
        <w:rPr>
          <w:b/>
          <w:bCs/>
        </w:rPr>
        <w:tab/>
        <w:t>- Allow higher Tx power by increasing the upper bound (P</w:t>
      </w:r>
      <w:r w:rsidRPr="008A50E0">
        <w:rPr>
          <w:b/>
          <w:bCs/>
          <w:vertAlign w:val="subscript"/>
        </w:rPr>
        <w:t>CMAX_H</w:t>
      </w:r>
      <w:r w:rsidRPr="008A50E0">
        <w:rPr>
          <w:b/>
          <w:bCs/>
        </w:rPr>
        <w:t>) by [2]</w:t>
      </w:r>
      <w:r w:rsidR="0065619E">
        <w:rPr>
          <w:b/>
          <w:bCs/>
        </w:rPr>
        <w:t xml:space="preserve"> </w:t>
      </w:r>
      <w:r w:rsidRPr="008A50E0">
        <w:rPr>
          <w:b/>
          <w:bCs/>
        </w:rPr>
        <w:t xml:space="preserve">dB, e.g., </w:t>
      </w:r>
      <w:proofErr w:type="spellStart"/>
      <w:r w:rsidRPr="008A50E0">
        <w:rPr>
          <w:b/>
          <w:bCs/>
        </w:rPr>
        <w:t>P</w:t>
      </w:r>
      <w:r w:rsidRPr="008A50E0">
        <w:rPr>
          <w:b/>
          <w:bCs/>
          <w:vertAlign w:val="subscript"/>
        </w:rPr>
        <w:t>CMAX_</w:t>
      </w:r>
      <w:proofErr w:type="gramStart"/>
      <w:r w:rsidRPr="008A50E0">
        <w:rPr>
          <w:b/>
          <w:bCs/>
          <w:vertAlign w:val="subscript"/>
        </w:rPr>
        <w:t>H,f</w:t>
      </w:r>
      <w:proofErr w:type="gramEnd"/>
      <w:r w:rsidRPr="008A50E0">
        <w:rPr>
          <w:b/>
          <w:bCs/>
          <w:vertAlign w:val="subscript"/>
        </w:rPr>
        <w:t>,c</w:t>
      </w:r>
      <w:proofErr w:type="spellEnd"/>
      <w:r w:rsidRPr="008A50E0">
        <w:rPr>
          <w:b/>
          <w:bCs/>
        </w:rPr>
        <w:t xml:space="preserve"> = MIN {</w:t>
      </w:r>
      <w:proofErr w:type="spellStart"/>
      <w:r w:rsidRPr="008A50E0">
        <w:rPr>
          <w:b/>
          <w:bCs/>
        </w:rPr>
        <w:t>P</w:t>
      </w:r>
      <w:r w:rsidRPr="008A50E0">
        <w:rPr>
          <w:b/>
          <w:bCs/>
          <w:vertAlign w:val="subscript"/>
        </w:rPr>
        <w:t>EMAX,c</w:t>
      </w:r>
      <w:proofErr w:type="spellEnd"/>
      <w:r w:rsidRPr="008A50E0">
        <w:rPr>
          <w:b/>
          <w:bCs/>
        </w:rPr>
        <w:t xml:space="preserve">,  </w:t>
      </w:r>
      <w:proofErr w:type="spellStart"/>
      <w:r w:rsidRPr="008A50E0">
        <w:rPr>
          <w:b/>
          <w:bCs/>
        </w:rPr>
        <w:t>P</w:t>
      </w:r>
      <w:r w:rsidRPr="008A50E0">
        <w:rPr>
          <w:b/>
          <w:bCs/>
          <w:vertAlign w:val="subscript"/>
        </w:rPr>
        <w:t>PowerClass</w:t>
      </w:r>
      <w:proofErr w:type="spellEnd"/>
      <w:r w:rsidRPr="008A50E0">
        <w:rPr>
          <w:b/>
          <w:bCs/>
        </w:rPr>
        <w:t xml:space="preserve"> + [2]dB};</w:t>
      </w:r>
    </w:p>
    <w:p w14:paraId="7281BB1A" w14:textId="3680449B" w:rsidR="00356B0C" w:rsidRPr="008A50E0" w:rsidRDefault="00CF06D4" w:rsidP="00436DCE">
      <w:pPr>
        <w:spacing w:beforeLines="50" w:before="120"/>
        <w:ind w:leftChars="0" w:left="0"/>
        <w:jc w:val="both"/>
        <w:rPr>
          <w:b/>
          <w:bCs/>
        </w:rPr>
      </w:pPr>
      <w:r w:rsidRPr="008A50E0">
        <w:rPr>
          <w:b/>
          <w:bCs/>
        </w:rPr>
        <w:tab/>
        <w:t>- Simplify the requirements for power boosting, make them easy to understand and implement.</w:t>
      </w:r>
    </w:p>
    <w:p w14:paraId="226901B6" w14:textId="77777777" w:rsidR="00356B0C" w:rsidRPr="008A50E0" w:rsidRDefault="00356B0C">
      <w:pPr>
        <w:spacing w:beforeLines="50" w:before="120"/>
        <w:ind w:left="420"/>
        <w:rPr>
          <w:b/>
          <w:bCs/>
        </w:rPr>
      </w:pPr>
    </w:p>
    <w:p w14:paraId="31736BE0" w14:textId="77777777" w:rsidR="00356B0C" w:rsidRPr="008A50E0" w:rsidRDefault="00CF06D4">
      <w:pPr>
        <w:spacing w:beforeLines="50" w:before="120"/>
        <w:ind w:left="420"/>
        <w:rPr>
          <w:b/>
          <w:bCs/>
          <w:u w:val="single"/>
        </w:rPr>
      </w:pPr>
      <w:r w:rsidRPr="008A50E0">
        <w:rPr>
          <w:b/>
          <w:bCs/>
          <w:u w:val="single"/>
        </w:rPr>
        <w:t>Issue 4: Default power class</w:t>
      </w:r>
    </w:p>
    <w:tbl>
      <w:tblPr>
        <w:tblStyle w:val="aff4"/>
        <w:tblW w:w="0" w:type="auto"/>
        <w:tblLook w:val="04A0" w:firstRow="1" w:lastRow="0" w:firstColumn="1" w:lastColumn="0" w:noHBand="0" w:noVBand="1"/>
      </w:tblPr>
      <w:tblGrid>
        <w:gridCol w:w="9631"/>
      </w:tblGrid>
      <w:tr w:rsidR="00356B0C" w:rsidRPr="008A50E0" w14:paraId="2F5AD4ED" w14:textId="77777777" w:rsidTr="00436DCE">
        <w:trPr>
          <w:trHeight w:val="1408"/>
        </w:trPr>
        <w:tc>
          <w:tcPr>
            <w:tcW w:w="9631" w:type="dxa"/>
          </w:tcPr>
          <w:p w14:paraId="33FE322A" w14:textId="77777777" w:rsidR="00356B0C" w:rsidRPr="008A50E0" w:rsidRDefault="00CF06D4">
            <w:pPr>
              <w:snapToGrid w:val="0"/>
              <w:spacing w:after="0"/>
              <w:ind w:leftChars="39" w:left="82"/>
              <w:rPr>
                <w:szCs w:val="24"/>
                <w:highlight w:val="green"/>
              </w:rPr>
            </w:pPr>
            <w:r w:rsidRPr="008A50E0">
              <w:rPr>
                <w:szCs w:val="24"/>
                <w:highlight w:val="green"/>
              </w:rPr>
              <w:t>RAN4 Agreement</w:t>
            </w:r>
          </w:p>
          <w:p w14:paraId="39D73B2B" w14:textId="77777777" w:rsidR="00356B0C" w:rsidRPr="008A50E0" w:rsidRDefault="00CF06D4">
            <w:pPr>
              <w:numPr>
                <w:ilvl w:val="0"/>
                <w:numId w:val="10"/>
              </w:numPr>
              <w:spacing w:after="120"/>
              <w:ind w:left="780"/>
              <w:rPr>
                <w:szCs w:val="24"/>
              </w:rPr>
            </w:pPr>
            <w:r w:rsidRPr="008A50E0">
              <w:rPr>
                <w:szCs w:val="24"/>
              </w:rPr>
              <w:t>Agreements for power class</w:t>
            </w:r>
          </w:p>
          <w:p w14:paraId="1105A628" w14:textId="77777777" w:rsidR="00356B0C" w:rsidRPr="008A50E0" w:rsidRDefault="00CF06D4">
            <w:pPr>
              <w:numPr>
                <w:ilvl w:val="1"/>
                <w:numId w:val="10"/>
              </w:numPr>
              <w:spacing w:after="120"/>
              <w:ind w:left="780"/>
              <w:rPr>
                <w:rFonts w:eastAsia="MS Mincho"/>
              </w:rPr>
            </w:pPr>
            <w:r w:rsidRPr="008A50E0">
              <w:rPr>
                <w:szCs w:val="28"/>
              </w:rPr>
              <w:t xml:space="preserve">Further study </w:t>
            </w:r>
            <w:proofErr w:type="gramStart"/>
            <w:r w:rsidRPr="008A50E0">
              <w:rPr>
                <w:szCs w:val="28"/>
              </w:rPr>
              <w:t>need</w:t>
            </w:r>
            <w:proofErr w:type="gramEnd"/>
            <w:r w:rsidRPr="008A50E0">
              <w:rPr>
                <w:szCs w:val="28"/>
              </w:rPr>
              <w:t xml:space="preserve"> for default power class and default power class values considering e.g.</w:t>
            </w:r>
          </w:p>
          <w:p w14:paraId="20C41597" w14:textId="77777777" w:rsidR="00356B0C" w:rsidRPr="008A50E0" w:rsidRDefault="00CF06D4">
            <w:pPr>
              <w:numPr>
                <w:ilvl w:val="2"/>
                <w:numId w:val="10"/>
              </w:numPr>
              <w:spacing w:after="120"/>
              <w:ind w:left="780"/>
              <w:rPr>
                <w:rFonts w:eastAsia="MS Mincho"/>
              </w:rPr>
            </w:pPr>
            <w:r w:rsidRPr="008A50E0">
              <w:rPr>
                <w:szCs w:val="28"/>
              </w:rPr>
              <w:t>Network UL coverage / UL link budget at different frequencies/ System performance</w:t>
            </w:r>
          </w:p>
          <w:p w14:paraId="1D7CF928" w14:textId="77777777" w:rsidR="00356B0C" w:rsidRPr="008A50E0" w:rsidRDefault="00CF06D4">
            <w:pPr>
              <w:numPr>
                <w:ilvl w:val="2"/>
                <w:numId w:val="10"/>
              </w:numPr>
              <w:spacing w:after="120"/>
              <w:ind w:left="780"/>
              <w:rPr>
                <w:rFonts w:eastAsia="MS Mincho"/>
              </w:rPr>
            </w:pPr>
            <w:r w:rsidRPr="008A50E0">
              <w:rPr>
                <w:szCs w:val="28"/>
              </w:rPr>
              <w:t>Impact on REFSENS definition for FDD bands</w:t>
            </w:r>
          </w:p>
          <w:p w14:paraId="5E6F28F4" w14:textId="77777777" w:rsidR="00356B0C" w:rsidRPr="008A50E0" w:rsidRDefault="00CF06D4">
            <w:pPr>
              <w:numPr>
                <w:ilvl w:val="2"/>
                <w:numId w:val="10"/>
              </w:numPr>
              <w:spacing w:after="120"/>
              <w:ind w:left="780"/>
              <w:rPr>
                <w:rFonts w:eastAsia="MS Mincho"/>
              </w:rPr>
            </w:pPr>
            <w:r w:rsidRPr="008A50E0">
              <w:rPr>
                <w:szCs w:val="28"/>
              </w:rPr>
              <w:lastRenderedPageBreak/>
              <w:t>Maximum channel bandwidth</w:t>
            </w:r>
          </w:p>
          <w:p w14:paraId="69830609" w14:textId="77777777" w:rsidR="00356B0C" w:rsidRPr="008A50E0" w:rsidRDefault="00CF06D4">
            <w:pPr>
              <w:numPr>
                <w:ilvl w:val="2"/>
                <w:numId w:val="10"/>
              </w:numPr>
              <w:spacing w:after="120"/>
              <w:ind w:left="780"/>
              <w:rPr>
                <w:rFonts w:eastAsia="MS Mincho"/>
              </w:rPr>
            </w:pPr>
            <w:r w:rsidRPr="008A50E0">
              <w:rPr>
                <w:szCs w:val="28"/>
              </w:rPr>
              <w:t>Cell planning from the operators</w:t>
            </w:r>
          </w:p>
          <w:p w14:paraId="1938B3EA" w14:textId="716EFAB5" w:rsidR="00356B0C" w:rsidRPr="00436DCE" w:rsidRDefault="00CF06D4" w:rsidP="00436DCE">
            <w:pPr>
              <w:numPr>
                <w:ilvl w:val="2"/>
                <w:numId w:val="10"/>
              </w:numPr>
              <w:spacing w:after="120"/>
              <w:ind w:left="780"/>
              <w:rPr>
                <w:rFonts w:eastAsia="MS Mincho" w:hint="eastAsia"/>
              </w:rPr>
            </w:pPr>
            <w:r w:rsidRPr="008A50E0">
              <w:rPr>
                <w:szCs w:val="28"/>
              </w:rPr>
              <w:t>Potential regulatory output power restrictions</w:t>
            </w:r>
          </w:p>
        </w:tc>
      </w:tr>
    </w:tbl>
    <w:p w14:paraId="4AA7556C" w14:textId="77777777" w:rsidR="00356B0C" w:rsidRPr="008A50E0" w:rsidRDefault="00356B0C">
      <w:pPr>
        <w:ind w:left="420"/>
        <w:jc w:val="both"/>
        <w:rPr>
          <w:bCs/>
          <w:iCs/>
          <w:lang w:eastAsia="en-US"/>
        </w:rPr>
      </w:pPr>
    </w:p>
    <w:p w14:paraId="1084FB76" w14:textId="77777777" w:rsidR="00356B0C" w:rsidRPr="008A50E0" w:rsidRDefault="00CF06D4" w:rsidP="00436DCE">
      <w:pPr>
        <w:ind w:leftChars="0" w:left="0"/>
        <w:jc w:val="both"/>
        <w:rPr>
          <w:bCs/>
          <w:iCs/>
          <w:lang w:eastAsia="en-US"/>
        </w:rPr>
      </w:pPr>
      <w:r w:rsidRPr="008A50E0">
        <w:rPr>
          <w:bCs/>
          <w:iCs/>
          <w:lang w:eastAsia="en-US"/>
        </w:rPr>
        <w:t>Regarding the FR1 default power class for 6G, there seems to be good consensus on PC2 for TDD bands and PC3 for FDD bands. To facilitate cell planning for operators and guarantee UL coverage, the default power class for a band means that the UE operating on this band should at least support the default power class. Lower power classes might be allowed for less-capable UEs, such as RedCap UEs in 5GNR or IoT UEs.</w:t>
      </w:r>
    </w:p>
    <w:p w14:paraId="58AF8E92" w14:textId="77777777" w:rsidR="00356B0C" w:rsidRPr="008A50E0" w:rsidRDefault="00356B0C" w:rsidP="00436DCE">
      <w:pPr>
        <w:ind w:leftChars="0" w:left="0"/>
        <w:jc w:val="both"/>
        <w:rPr>
          <w:bCs/>
          <w:iCs/>
          <w:lang w:eastAsia="en-US"/>
        </w:rPr>
      </w:pPr>
    </w:p>
    <w:p w14:paraId="61FD536D" w14:textId="33F866C3" w:rsidR="00356B0C" w:rsidRPr="008A50E0" w:rsidRDefault="00CF06D4" w:rsidP="00436DCE">
      <w:pPr>
        <w:ind w:leftChars="0" w:left="0"/>
        <w:jc w:val="both"/>
        <w:rPr>
          <w:b/>
          <w:iCs/>
          <w:lang w:eastAsia="en-US"/>
        </w:rPr>
      </w:pPr>
      <w:r w:rsidRPr="008A50E0">
        <w:rPr>
          <w:b/>
          <w:iCs/>
          <w:lang w:eastAsia="en-US"/>
        </w:rPr>
        <w:t>Proposal 1-4: The default power class for a band means that the UE operating on this band should at least support the default power class. It’s feasible to set the default power class to PC2 for TDD bands and PC3 for FDD bands. Lower power classes should be allowed for specific types of UEs, such IoT UEs.</w:t>
      </w:r>
    </w:p>
    <w:p w14:paraId="4E765503" w14:textId="7F4CD49A" w:rsidR="00356B0C" w:rsidRPr="008A50E0" w:rsidRDefault="00CF06D4" w:rsidP="00436DCE">
      <w:pPr>
        <w:spacing w:beforeLines="50" w:before="120"/>
        <w:ind w:leftChars="0" w:left="0"/>
        <w:jc w:val="both"/>
      </w:pPr>
      <w:r w:rsidRPr="008A50E0">
        <w:t>For example, in order to fully utilize the large bandwidth of the ~7GHz band, higher Tx power is desired. The ~7GHz band is considered to be the key value-added band for 6GR. Owing to higher frequency, more antennas might be integrated into the handsets. Equipping two Tx chains with PC2 PAs enables ready support for PC1.5.</w:t>
      </w:r>
    </w:p>
    <w:p w14:paraId="2CA83AD1" w14:textId="1A8C0809" w:rsidR="00356B0C" w:rsidRPr="008A50E0" w:rsidRDefault="00CF06D4" w:rsidP="00436DCE">
      <w:pPr>
        <w:spacing w:beforeLines="50" w:before="120"/>
        <w:ind w:leftChars="0" w:left="0"/>
        <w:jc w:val="both"/>
        <w:rPr>
          <w:b/>
          <w:bCs/>
        </w:rPr>
      </w:pPr>
      <w:r w:rsidRPr="008A50E0">
        <w:rPr>
          <w:b/>
          <w:bCs/>
        </w:rPr>
        <w:t>Proposal 1-5: Study and evaluate the performance benefit</w:t>
      </w:r>
      <w:r w:rsidR="00DD48BD">
        <w:rPr>
          <w:b/>
          <w:bCs/>
        </w:rPr>
        <w:t>s</w:t>
      </w:r>
      <w:r w:rsidRPr="008A50E0">
        <w:rPr>
          <w:b/>
          <w:bCs/>
        </w:rPr>
        <w:t xml:space="preserve"> for different Power Class</w:t>
      </w:r>
      <w:r w:rsidR="00DD48BD">
        <w:rPr>
          <w:b/>
          <w:bCs/>
        </w:rPr>
        <w:t>es</w:t>
      </w:r>
      <w:r w:rsidRPr="008A50E0">
        <w:rPr>
          <w:b/>
          <w:bCs/>
        </w:rPr>
        <w:t xml:space="preserve"> for ~7GHz including PC1.5.</w:t>
      </w:r>
    </w:p>
    <w:p w14:paraId="4CE53EE3" w14:textId="77777777" w:rsidR="00356B0C" w:rsidRPr="008A50E0" w:rsidRDefault="00356B0C">
      <w:pPr>
        <w:spacing w:beforeLines="50" w:before="120"/>
        <w:ind w:left="420"/>
        <w:rPr>
          <w:b/>
          <w:bCs/>
        </w:rPr>
      </w:pPr>
    </w:p>
    <w:p w14:paraId="11AA77F0" w14:textId="77777777" w:rsidR="00356B0C" w:rsidRPr="008A50E0" w:rsidRDefault="00CF06D4">
      <w:pPr>
        <w:spacing w:beforeLines="50" w:before="120"/>
        <w:ind w:left="420"/>
        <w:rPr>
          <w:b/>
          <w:bCs/>
          <w:u w:val="single"/>
        </w:rPr>
      </w:pPr>
      <w:r w:rsidRPr="008A50E0">
        <w:rPr>
          <w:b/>
          <w:bCs/>
          <w:u w:val="single"/>
        </w:rPr>
        <w:t>Issue 5: SAR and UL duty cycle</w:t>
      </w:r>
    </w:p>
    <w:tbl>
      <w:tblPr>
        <w:tblStyle w:val="aff4"/>
        <w:tblW w:w="0" w:type="auto"/>
        <w:tblLook w:val="04A0" w:firstRow="1" w:lastRow="0" w:firstColumn="1" w:lastColumn="0" w:noHBand="0" w:noVBand="1"/>
      </w:tblPr>
      <w:tblGrid>
        <w:gridCol w:w="9631"/>
      </w:tblGrid>
      <w:tr w:rsidR="00356B0C" w:rsidRPr="008A50E0" w14:paraId="0D48D259" w14:textId="77777777">
        <w:trPr>
          <w:trHeight w:val="2631"/>
        </w:trPr>
        <w:tc>
          <w:tcPr>
            <w:tcW w:w="9631" w:type="dxa"/>
          </w:tcPr>
          <w:p w14:paraId="53C7F420" w14:textId="77777777" w:rsidR="00356B0C" w:rsidRPr="008A50E0" w:rsidRDefault="00CF06D4">
            <w:pPr>
              <w:snapToGrid w:val="0"/>
              <w:spacing w:after="0"/>
              <w:ind w:leftChars="39" w:left="82"/>
              <w:rPr>
                <w:szCs w:val="24"/>
                <w:highlight w:val="green"/>
              </w:rPr>
            </w:pPr>
            <w:bookmarkStart w:id="5" w:name="_Hlk219469193"/>
            <w:r w:rsidRPr="008A50E0">
              <w:rPr>
                <w:szCs w:val="24"/>
                <w:highlight w:val="green"/>
              </w:rPr>
              <w:t>RAN4 Agreement</w:t>
            </w:r>
          </w:p>
          <w:p w14:paraId="38ED4378" w14:textId="77777777" w:rsidR="00356B0C" w:rsidRPr="008A50E0" w:rsidRDefault="00CF06D4">
            <w:pPr>
              <w:numPr>
                <w:ilvl w:val="0"/>
                <w:numId w:val="10"/>
              </w:numPr>
              <w:spacing w:after="120"/>
              <w:ind w:left="780"/>
              <w:rPr>
                <w:szCs w:val="24"/>
              </w:rPr>
            </w:pPr>
            <w:r w:rsidRPr="008A50E0">
              <w:rPr>
                <w:szCs w:val="24"/>
              </w:rPr>
              <w:t>Agreements for configured maximum output power</w:t>
            </w:r>
          </w:p>
          <w:p w14:paraId="01423641" w14:textId="77777777" w:rsidR="00356B0C" w:rsidRPr="008A50E0" w:rsidRDefault="00CF06D4">
            <w:pPr>
              <w:numPr>
                <w:ilvl w:val="1"/>
                <w:numId w:val="10"/>
              </w:numPr>
              <w:spacing w:after="120"/>
              <w:ind w:left="780"/>
              <w:rPr>
                <w:szCs w:val="24"/>
              </w:rPr>
            </w:pPr>
            <w:r w:rsidRPr="008A50E0">
              <w:rPr>
                <w:szCs w:val="24"/>
              </w:rPr>
              <w:t>Further study SAR solution considering</w:t>
            </w:r>
          </w:p>
          <w:p w14:paraId="6427FF0D" w14:textId="77777777" w:rsidR="00356B0C" w:rsidRPr="008A50E0" w:rsidRDefault="00CF06D4">
            <w:pPr>
              <w:numPr>
                <w:ilvl w:val="2"/>
                <w:numId w:val="10"/>
              </w:numPr>
              <w:spacing w:after="120"/>
              <w:ind w:left="780"/>
              <w:rPr>
                <w:szCs w:val="24"/>
              </w:rPr>
            </w:pPr>
            <w:r w:rsidRPr="008A50E0">
              <w:rPr>
                <w:szCs w:val="24"/>
              </w:rPr>
              <w:t>P-MPR as baseline below 6 GHz</w:t>
            </w:r>
          </w:p>
          <w:p w14:paraId="6D7092B4" w14:textId="77777777" w:rsidR="00356B0C" w:rsidRPr="008A50E0" w:rsidRDefault="00CF06D4">
            <w:pPr>
              <w:numPr>
                <w:ilvl w:val="2"/>
                <w:numId w:val="10"/>
              </w:numPr>
              <w:spacing w:after="120"/>
              <w:ind w:left="780"/>
              <w:rPr>
                <w:szCs w:val="24"/>
              </w:rPr>
            </w:pPr>
            <w:r w:rsidRPr="008A50E0">
              <w:rPr>
                <w:szCs w:val="24"/>
              </w:rPr>
              <w:t>Whether/how SAR or MPE applies at higher than 6GHz and applicable solutions</w:t>
            </w:r>
          </w:p>
          <w:p w14:paraId="12B8E7CC" w14:textId="77777777" w:rsidR="00356B0C" w:rsidRPr="008A50E0" w:rsidRDefault="00CF06D4">
            <w:pPr>
              <w:numPr>
                <w:ilvl w:val="2"/>
                <w:numId w:val="10"/>
              </w:numPr>
              <w:spacing w:after="120"/>
              <w:ind w:left="780"/>
              <w:rPr>
                <w:szCs w:val="24"/>
              </w:rPr>
            </w:pPr>
            <w:r w:rsidRPr="008A50E0">
              <w:rPr>
                <w:szCs w:val="24"/>
              </w:rPr>
              <w:t xml:space="preserve">Achieving more clarity on UE output power </w:t>
            </w:r>
          </w:p>
          <w:p w14:paraId="5AA13FDF" w14:textId="77777777" w:rsidR="00356B0C" w:rsidRPr="008A50E0" w:rsidRDefault="00CF06D4">
            <w:pPr>
              <w:numPr>
                <w:ilvl w:val="1"/>
                <w:numId w:val="10"/>
              </w:numPr>
              <w:spacing w:after="120"/>
              <w:ind w:left="780"/>
              <w:rPr>
                <w:szCs w:val="24"/>
              </w:rPr>
            </w:pPr>
            <w:r w:rsidRPr="008A50E0">
              <w:rPr>
                <w:szCs w:val="24"/>
              </w:rPr>
              <w:t>Further study potential UL duty cycle requirement to optimize component size/cost considering</w:t>
            </w:r>
          </w:p>
          <w:p w14:paraId="771C21C7" w14:textId="77777777" w:rsidR="00356B0C" w:rsidRPr="008A50E0" w:rsidRDefault="00CF06D4">
            <w:pPr>
              <w:numPr>
                <w:ilvl w:val="2"/>
                <w:numId w:val="10"/>
              </w:numPr>
              <w:spacing w:after="120"/>
              <w:ind w:left="780"/>
              <w:rPr>
                <w:szCs w:val="24"/>
              </w:rPr>
            </w:pPr>
            <w:r w:rsidRPr="008A50E0">
              <w:rPr>
                <w:szCs w:val="24"/>
              </w:rPr>
              <w:t>Use cases and deployment scenarios as well as network needs</w:t>
            </w:r>
          </w:p>
        </w:tc>
      </w:tr>
      <w:bookmarkEnd w:id="5"/>
    </w:tbl>
    <w:p w14:paraId="3DBA47F8" w14:textId="77777777" w:rsidR="00356B0C" w:rsidRPr="008A50E0" w:rsidRDefault="00356B0C">
      <w:pPr>
        <w:ind w:left="420"/>
        <w:jc w:val="both"/>
        <w:rPr>
          <w:bCs/>
          <w:iCs/>
          <w:lang w:eastAsia="en-US"/>
        </w:rPr>
      </w:pPr>
    </w:p>
    <w:p w14:paraId="2E67D24E" w14:textId="77777777" w:rsidR="00356B0C" w:rsidRPr="008A50E0" w:rsidRDefault="00CF06D4" w:rsidP="00436DCE">
      <w:pPr>
        <w:ind w:leftChars="0" w:left="0"/>
        <w:jc w:val="both"/>
        <w:rPr>
          <w:bCs/>
          <w:iCs/>
          <w:lang w:eastAsia="en-US"/>
        </w:rPr>
      </w:pPr>
      <w:r w:rsidRPr="008A50E0">
        <w:rPr>
          <w:bCs/>
          <w:iCs/>
          <w:lang w:eastAsia="en-US"/>
        </w:rPr>
        <w:t xml:space="preserve">As pointed out by several companies, modern handsets are equipped with multiple radios including those for </w:t>
      </w:r>
      <w:proofErr w:type="spellStart"/>
      <w:r w:rsidRPr="008A50E0">
        <w:rPr>
          <w:bCs/>
          <w:iCs/>
          <w:lang w:eastAsia="en-US"/>
        </w:rPr>
        <w:t>WiFi</w:t>
      </w:r>
      <w:proofErr w:type="spellEnd"/>
      <w:r w:rsidRPr="008A50E0">
        <w:rPr>
          <w:bCs/>
          <w:iCs/>
          <w:lang w:eastAsia="en-US"/>
        </w:rPr>
        <w:t>, Bluetooth and etc. These non-3GPP radios can operate simultaneously with 3GPP radio, and generate emissions that are absorbed by the human body. Given the dynamics of the multiple-radio operations, it’s better to let the UE to manage the SAR solution. Therefore, the widely deployed P-MPR solution should be the baseline. Other solutions can be studied, but they have to be implementable and verifiable, and also show clear advantages compared with P-MPR.</w:t>
      </w:r>
    </w:p>
    <w:p w14:paraId="5FFBD2AD" w14:textId="77777777" w:rsidR="00356B0C" w:rsidRPr="008A50E0" w:rsidRDefault="00CF06D4" w:rsidP="00436DCE">
      <w:pPr>
        <w:spacing w:beforeLines="50" w:before="120"/>
        <w:ind w:leftChars="0" w:left="0"/>
        <w:jc w:val="both"/>
        <w:rPr>
          <w:b/>
          <w:iCs/>
          <w:lang w:eastAsia="en-US"/>
        </w:rPr>
      </w:pPr>
      <w:r w:rsidRPr="008A50E0">
        <w:rPr>
          <w:b/>
          <w:iCs/>
          <w:lang w:eastAsia="en-US"/>
        </w:rPr>
        <w:lastRenderedPageBreak/>
        <w:t>Proposal 1-6: Regarding solutions for meeting SAR/MPE/APD requirements, P-MPR should be the baseline. For UE thermal management, P-MPR can also be considered.</w:t>
      </w:r>
    </w:p>
    <w:p w14:paraId="5ACE169B" w14:textId="77777777" w:rsidR="00356B0C" w:rsidRPr="008A50E0" w:rsidRDefault="00356B0C">
      <w:pPr>
        <w:spacing w:beforeLines="50" w:before="120"/>
        <w:ind w:left="420"/>
        <w:rPr>
          <w:b/>
          <w:iCs/>
          <w:lang w:eastAsia="en-US"/>
        </w:rPr>
      </w:pPr>
    </w:p>
    <w:p w14:paraId="7957C109" w14:textId="77777777" w:rsidR="00356B0C" w:rsidRPr="008A50E0" w:rsidRDefault="00CF06D4">
      <w:pPr>
        <w:spacing w:beforeLines="50" w:before="120"/>
        <w:ind w:left="420"/>
        <w:rPr>
          <w:b/>
          <w:bCs/>
          <w:u w:val="single"/>
        </w:rPr>
      </w:pPr>
      <w:r w:rsidRPr="008A50E0">
        <w:rPr>
          <w:b/>
          <w:bCs/>
          <w:u w:val="single"/>
        </w:rPr>
        <w:t>Issue 6: Configured maximum power equation parameters</w:t>
      </w:r>
    </w:p>
    <w:tbl>
      <w:tblPr>
        <w:tblStyle w:val="aff4"/>
        <w:tblW w:w="0" w:type="auto"/>
        <w:tblLook w:val="04A0" w:firstRow="1" w:lastRow="0" w:firstColumn="1" w:lastColumn="0" w:noHBand="0" w:noVBand="1"/>
      </w:tblPr>
      <w:tblGrid>
        <w:gridCol w:w="9631"/>
      </w:tblGrid>
      <w:tr w:rsidR="00356B0C" w:rsidRPr="008A50E0" w14:paraId="47AA806B" w14:textId="77777777">
        <w:trPr>
          <w:trHeight w:val="2631"/>
        </w:trPr>
        <w:tc>
          <w:tcPr>
            <w:tcW w:w="9631" w:type="dxa"/>
          </w:tcPr>
          <w:p w14:paraId="36957C51" w14:textId="77777777" w:rsidR="00356B0C" w:rsidRPr="008A50E0" w:rsidRDefault="00CF06D4">
            <w:pPr>
              <w:snapToGrid w:val="0"/>
              <w:spacing w:after="0"/>
              <w:ind w:leftChars="39" w:left="82"/>
              <w:rPr>
                <w:szCs w:val="24"/>
                <w:highlight w:val="green"/>
              </w:rPr>
            </w:pPr>
            <w:r w:rsidRPr="008A50E0">
              <w:rPr>
                <w:szCs w:val="24"/>
                <w:highlight w:val="green"/>
              </w:rPr>
              <w:t>RAN4 Agreement</w:t>
            </w:r>
          </w:p>
          <w:p w14:paraId="1FCF079E" w14:textId="77777777" w:rsidR="00356B0C" w:rsidRPr="008A50E0" w:rsidRDefault="00CF06D4">
            <w:pPr>
              <w:numPr>
                <w:ilvl w:val="0"/>
                <w:numId w:val="10"/>
              </w:numPr>
              <w:spacing w:after="120"/>
              <w:ind w:left="780"/>
              <w:rPr>
                <w:szCs w:val="24"/>
              </w:rPr>
            </w:pPr>
            <w:r w:rsidRPr="008A50E0">
              <w:rPr>
                <w:szCs w:val="24"/>
              </w:rPr>
              <w:t>Agreements for configured maximum output power</w:t>
            </w:r>
          </w:p>
          <w:p w14:paraId="64640A38" w14:textId="77777777" w:rsidR="00356B0C" w:rsidRPr="008A50E0" w:rsidRDefault="00CF06D4">
            <w:pPr>
              <w:numPr>
                <w:ilvl w:val="1"/>
                <w:numId w:val="10"/>
              </w:numPr>
              <w:spacing w:after="120"/>
              <w:ind w:left="780"/>
              <w:rPr>
                <w:szCs w:val="24"/>
              </w:rPr>
            </w:pPr>
            <w:r w:rsidRPr="008A50E0">
              <w:rPr>
                <w:szCs w:val="24"/>
              </w:rPr>
              <w:t>Further review the 5G configured Tx power equation parameters considering at least the following</w:t>
            </w:r>
          </w:p>
          <w:p w14:paraId="6CE8EDAB" w14:textId="77777777" w:rsidR="00356B0C" w:rsidRPr="008A50E0" w:rsidRDefault="00CF06D4">
            <w:pPr>
              <w:numPr>
                <w:ilvl w:val="2"/>
                <w:numId w:val="10"/>
              </w:numPr>
              <w:spacing w:after="120"/>
              <w:ind w:left="780"/>
              <w:rPr>
                <w:szCs w:val="24"/>
              </w:rPr>
            </w:pPr>
            <w:r w:rsidRPr="008A50E0">
              <w:rPr>
                <w:szCs w:val="24"/>
              </w:rPr>
              <w:t>∆</w:t>
            </w:r>
            <w:proofErr w:type="spellStart"/>
            <w:proofErr w:type="gramStart"/>
            <w:r w:rsidRPr="008A50E0">
              <w:rPr>
                <w:szCs w:val="24"/>
              </w:rPr>
              <w:t>T</w:t>
            </w:r>
            <w:r w:rsidRPr="008A50E0">
              <w:rPr>
                <w:szCs w:val="24"/>
                <w:vertAlign w:val="subscript"/>
              </w:rPr>
              <w:t>C,c</w:t>
            </w:r>
            <w:proofErr w:type="spellEnd"/>
            <w:proofErr w:type="gramEnd"/>
            <w:r w:rsidRPr="008A50E0">
              <w:rPr>
                <w:szCs w:val="24"/>
                <w:vertAlign w:val="subscript"/>
              </w:rPr>
              <w:t xml:space="preserve"> : </w:t>
            </w:r>
            <w:r w:rsidRPr="008A50E0">
              <w:rPr>
                <w:szCs w:val="24"/>
              </w:rPr>
              <w:t>can it be removed, considering also new wider CBW and FFS on whether and where to accommodate this relaxation in requirements.</w:t>
            </w:r>
          </w:p>
          <w:p w14:paraId="3EF2A578" w14:textId="77777777" w:rsidR="00356B0C" w:rsidRPr="008A50E0" w:rsidRDefault="00CF06D4">
            <w:pPr>
              <w:numPr>
                <w:ilvl w:val="2"/>
                <w:numId w:val="10"/>
              </w:numPr>
              <w:spacing w:after="120"/>
              <w:ind w:left="780"/>
              <w:rPr>
                <w:szCs w:val="24"/>
              </w:rPr>
            </w:pPr>
            <w:r w:rsidRPr="008A50E0">
              <w:rPr>
                <w:szCs w:val="24"/>
              </w:rPr>
              <w:t>∆</w:t>
            </w:r>
            <w:proofErr w:type="spellStart"/>
            <w:r w:rsidRPr="008A50E0">
              <w:rPr>
                <w:szCs w:val="24"/>
              </w:rPr>
              <w:t>T</w:t>
            </w:r>
            <w:r w:rsidRPr="008A50E0">
              <w:rPr>
                <w:szCs w:val="24"/>
                <w:vertAlign w:val="subscript"/>
              </w:rPr>
              <w:t>RxSRS</w:t>
            </w:r>
            <w:proofErr w:type="spellEnd"/>
            <w:r w:rsidRPr="008A50E0">
              <w:rPr>
                <w:szCs w:val="24"/>
              </w:rPr>
              <w:t xml:space="preserve">: should it be separated from general </w:t>
            </w:r>
            <w:proofErr w:type="spellStart"/>
            <w:r w:rsidRPr="008A50E0">
              <w:rPr>
                <w:szCs w:val="24"/>
              </w:rPr>
              <w:t>Pcmax</w:t>
            </w:r>
            <w:proofErr w:type="spellEnd"/>
            <w:r w:rsidRPr="008A50E0">
              <w:rPr>
                <w:szCs w:val="24"/>
              </w:rPr>
              <w:t xml:space="preserve"> equation as it only addresses SRS transmission and FFS on how it can be accommodated.</w:t>
            </w:r>
          </w:p>
          <w:p w14:paraId="7DC2B93E" w14:textId="77777777" w:rsidR="00356B0C" w:rsidRPr="008A50E0" w:rsidRDefault="00CF06D4">
            <w:pPr>
              <w:numPr>
                <w:ilvl w:val="2"/>
                <w:numId w:val="10"/>
              </w:numPr>
              <w:spacing w:after="120"/>
              <w:ind w:left="780"/>
              <w:rPr>
                <w:szCs w:val="24"/>
              </w:rPr>
            </w:pPr>
            <w:r w:rsidRPr="008A50E0">
              <w:rPr>
                <w:szCs w:val="24"/>
              </w:rPr>
              <w:t>∆T</w:t>
            </w:r>
            <w:r w:rsidRPr="008A50E0">
              <w:rPr>
                <w:szCs w:val="24"/>
                <w:vertAlign w:val="subscript"/>
              </w:rPr>
              <w:t>ib</w:t>
            </w:r>
            <w:r w:rsidRPr="008A50E0">
              <w:rPr>
                <w:szCs w:val="24"/>
              </w:rPr>
              <w:t>: can the requirement be removed and accommodated to per band power capability and FSS on whether and where to accommodate this relaxation in requirements.</w:t>
            </w:r>
          </w:p>
          <w:p w14:paraId="324978C2" w14:textId="77777777" w:rsidR="00356B0C" w:rsidRPr="008A50E0" w:rsidRDefault="00356B0C">
            <w:pPr>
              <w:snapToGrid w:val="0"/>
              <w:spacing w:after="0"/>
              <w:ind w:leftChars="39" w:left="82"/>
              <w:rPr>
                <w:szCs w:val="24"/>
                <w:highlight w:val="green"/>
              </w:rPr>
            </w:pPr>
          </w:p>
        </w:tc>
      </w:tr>
    </w:tbl>
    <w:p w14:paraId="730D6FD2" w14:textId="77777777" w:rsidR="00356B0C" w:rsidRPr="008A50E0" w:rsidRDefault="00CF06D4" w:rsidP="00436DCE">
      <w:pPr>
        <w:spacing w:beforeLines="50" w:before="120"/>
        <w:ind w:leftChars="0" w:left="0"/>
        <w:jc w:val="both"/>
        <w:rPr>
          <w:szCs w:val="24"/>
        </w:rPr>
      </w:pPr>
      <w:r w:rsidRPr="008A50E0">
        <w:t xml:space="preserve">The Tx power equation parameters such as: </w:t>
      </w:r>
      <w:r w:rsidRPr="008A50E0">
        <w:rPr>
          <w:szCs w:val="24"/>
        </w:rPr>
        <w:t>∆</w:t>
      </w:r>
      <w:proofErr w:type="spellStart"/>
      <w:proofErr w:type="gramStart"/>
      <w:r w:rsidRPr="008A50E0">
        <w:rPr>
          <w:szCs w:val="24"/>
        </w:rPr>
        <w:t>T</w:t>
      </w:r>
      <w:r w:rsidRPr="008A50E0">
        <w:rPr>
          <w:szCs w:val="24"/>
          <w:vertAlign w:val="subscript"/>
        </w:rPr>
        <w:t>C,c</w:t>
      </w:r>
      <w:proofErr w:type="spellEnd"/>
      <w:proofErr w:type="gramEnd"/>
      <w:r w:rsidRPr="008A50E0">
        <w:rPr>
          <w:szCs w:val="24"/>
        </w:rPr>
        <w:t>,</w:t>
      </w:r>
      <w:r w:rsidRPr="008A50E0">
        <w:rPr>
          <w:szCs w:val="24"/>
          <w:vertAlign w:val="subscript"/>
        </w:rPr>
        <w:t xml:space="preserve"> </w:t>
      </w:r>
      <w:r w:rsidRPr="008A50E0">
        <w:rPr>
          <w:szCs w:val="24"/>
        </w:rPr>
        <w:t>∆</w:t>
      </w:r>
      <w:proofErr w:type="spellStart"/>
      <w:r w:rsidRPr="008A50E0">
        <w:rPr>
          <w:szCs w:val="24"/>
        </w:rPr>
        <w:t>T</w:t>
      </w:r>
      <w:r w:rsidRPr="008A50E0">
        <w:rPr>
          <w:szCs w:val="24"/>
          <w:vertAlign w:val="subscript"/>
        </w:rPr>
        <w:t>RxSRS</w:t>
      </w:r>
      <w:proofErr w:type="spellEnd"/>
      <w:r w:rsidRPr="008A50E0">
        <w:rPr>
          <w:szCs w:val="24"/>
        </w:rPr>
        <w:t>, ∆T</w:t>
      </w:r>
      <w:r w:rsidRPr="008A50E0">
        <w:rPr>
          <w:szCs w:val="24"/>
          <w:vertAlign w:val="subscript"/>
        </w:rPr>
        <w:t xml:space="preserve">ib </w:t>
      </w:r>
      <w:r w:rsidRPr="008A50E0">
        <w:rPr>
          <w:szCs w:val="24"/>
        </w:rPr>
        <w:t>are used to address issues encountered in practical implementations, which are unlikely to disappear in 6GR. Where to specify them can be further studied.</w:t>
      </w:r>
    </w:p>
    <w:p w14:paraId="6587BB28" w14:textId="410590F0" w:rsidR="00356B0C" w:rsidRPr="008A50E0" w:rsidRDefault="00CF06D4" w:rsidP="00436DCE">
      <w:pPr>
        <w:spacing w:beforeLines="50" w:before="120"/>
        <w:ind w:leftChars="0" w:left="0"/>
        <w:jc w:val="both"/>
        <w:rPr>
          <w:b/>
          <w:bCs/>
        </w:rPr>
      </w:pPr>
      <w:r w:rsidRPr="008A50E0">
        <w:rPr>
          <w:b/>
          <w:bCs/>
          <w:szCs w:val="24"/>
        </w:rPr>
        <w:t>Proposal 1-7: The relaxation introduced by the parameters of</w:t>
      </w:r>
      <w:r w:rsidRPr="008A50E0">
        <w:rPr>
          <w:b/>
          <w:bCs/>
        </w:rPr>
        <w:t xml:space="preserve"> </w:t>
      </w:r>
      <w:r w:rsidRPr="008A50E0">
        <w:rPr>
          <w:b/>
          <w:bCs/>
          <w:szCs w:val="24"/>
        </w:rPr>
        <w:t>∆</w:t>
      </w:r>
      <w:proofErr w:type="spellStart"/>
      <w:proofErr w:type="gramStart"/>
      <w:r w:rsidRPr="008A50E0">
        <w:rPr>
          <w:b/>
          <w:bCs/>
          <w:szCs w:val="24"/>
        </w:rPr>
        <w:t>T</w:t>
      </w:r>
      <w:r w:rsidRPr="008A50E0">
        <w:rPr>
          <w:b/>
          <w:bCs/>
          <w:szCs w:val="24"/>
          <w:vertAlign w:val="subscript"/>
        </w:rPr>
        <w:t>C,c</w:t>
      </w:r>
      <w:proofErr w:type="spellEnd"/>
      <w:proofErr w:type="gramEnd"/>
      <w:r w:rsidRPr="008A50E0">
        <w:rPr>
          <w:b/>
          <w:bCs/>
          <w:szCs w:val="24"/>
        </w:rPr>
        <w:t>,</w:t>
      </w:r>
      <w:r w:rsidRPr="008A50E0">
        <w:rPr>
          <w:b/>
          <w:bCs/>
          <w:szCs w:val="24"/>
          <w:vertAlign w:val="subscript"/>
        </w:rPr>
        <w:t xml:space="preserve"> </w:t>
      </w:r>
      <w:r w:rsidRPr="008A50E0">
        <w:rPr>
          <w:b/>
          <w:bCs/>
          <w:szCs w:val="24"/>
        </w:rPr>
        <w:t>∆</w:t>
      </w:r>
      <w:proofErr w:type="spellStart"/>
      <w:r w:rsidRPr="008A50E0">
        <w:rPr>
          <w:b/>
          <w:bCs/>
          <w:szCs w:val="24"/>
        </w:rPr>
        <w:t>T</w:t>
      </w:r>
      <w:r w:rsidRPr="008A50E0">
        <w:rPr>
          <w:b/>
          <w:bCs/>
          <w:szCs w:val="24"/>
          <w:vertAlign w:val="subscript"/>
        </w:rPr>
        <w:t>RxSRS</w:t>
      </w:r>
      <w:proofErr w:type="spellEnd"/>
      <w:r w:rsidRPr="008A50E0">
        <w:rPr>
          <w:b/>
          <w:bCs/>
          <w:szCs w:val="24"/>
        </w:rPr>
        <w:t>, ∆T</w:t>
      </w:r>
      <w:r w:rsidRPr="008A50E0">
        <w:rPr>
          <w:b/>
          <w:bCs/>
          <w:szCs w:val="24"/>
          <w:vertAlign w:val="subscript"/>
        </w:rPr>
        <w:t xml:space="preserve">ib </w:t>
      </w:r>
      <w:r w:rsidRPr="008A50E0">
        <w:rPr>
          <w:b/>
          <w:bCs/>
          <w:szCs w:val="24"/>
        </w:rPr>
        <w:t>are still needed to accommodate practical implementation limitations. How to specify them can be further studied and improved.</w:t>
      </w:r>
    </w:p>
    <w:p w14:paraId="2323CEB7" w14:textId="77777777" w:rsidR="00356B0C" w:rsidRDefault="00356B0C">
      <w:pPr>
        <w:ind w:left="420"/>
        <w:jc w:val="both"/>
        <w:rPr>
          <w:b/>
          <w:i/>
          <w:lang w:eastAsia="en-US"/>
        </w:rPr>
      </w:pPr>
    </w:p>
    <w:p w14:paraId="2FBE0C83" w14:textId="77777777" w:rsidR="00356B0C" w:rsidRDefault="00CF06D4">
      <w:pPr>
        <w:pStyle w:val="2"/>
        <w:rPr>
          <w:bCs/>
          <w:iCs/>
        </w:rPr>
      </w:pPr>
      <w:r>
        <w:rPr>
          <w:rFonts w:eastAsiaTheme="minorEastAsia"/>
        </w:rPr>
        <w:t>CA output power</w:t>
      </w:r>
    </w:p>
    <w:tbl>
      <w:tblPr>
        <w:tblStyle w:val="aff4"/>
        <w:tblW w:w="0" w:type="auto"/>
        <w:tblLook w:val="04A0" w:firstRow="1" w:lastRow="0" w:firstColumn="1" w:lastColumn="0" w:noHBand="0" w:noVBand="1"/>
      </w:tblPr>
      <w:tblGrid>
        <w:gridCol w:w="9631"/>
      </w:tblGrid>
      <w:tr w:rsidR="00356B0C" w:rsidRPr="008A50E0" w14:paraId="72AF1B41" w14:textId="77777777">
        <w:trPr>
          <w:trHeight w:val="1262"/>
        </w:trPr>
        <w:tc>
          <w:tcPr>
            <w:tcW w:w="9631" w:type="dxa"/>
          </w:tcPr>
          <w:p w14:paraId="28F2C2C0" w14:textId="77777777" w:rsidR="00356B0C" w:rsidRPr="008A50E0" w:rsidRDefault="00CF06D4">
            <w:pPr>
              <w:snapToGrid w:val="0"/>
              <w:spacing w:after="0"/>
              <w:ind w:leftChars="82" w:left="172"/>
              <w:rPr>
                <w:szCs w:val="24"/>
                <w:highlight w:val="green"/>
              </w:rPr>
            </w:pPr>
            <w:r w:rsidRPr="008A50E0">
              <w:rPr>
                <w:szCs w:val="24"/>
                <w:highlight w:val="green"/>
              </w:rPr>
              <w:t>RAN4 Agreement</w:t>
            </w:r>
          </w:p>
          <w:p w14:paraId="04260C55" w14:textId="77777777" w:rsidR="00356B0C" w:rsidRPr="008A50E0" w:rsidRDefault="00CF06D4">
            <w:pPr>
              <w:numPr>
                <w:ilvl w:val="0"/>
                <w:numId w:val="10"/>
              </w:numPr>
              <w:ind w:left="780"/>
              <w:rPr>
                <w:szCs w:val="24"/>
              </w:rPr>
            </w:pPr>
            <w:r w:rsidRPr="008A50E0">
              <w:rPr>
                <w:szCs w:val="24"/>
              </w:rPr>
              <w:t>Strive to improve clarity on UE power ability under different UE condition (</w:t>
            </w:r>
            <w:proofErr w:type="gramStart"/>
            <w:r w:rsidRPr="008A50E0">
              <w:rPr>
                <w:szCs w:val="24"/>
              </w:rPr>
              <w:t>e.g.</w:t>
            </w:r>
            <w:proofErr w:type="gramEnd"/>
            <w:r w:rsidRPr="008A50E0">
              <w:rPr>
                <w:szCs w:val="24"/>
              </w:rPr>
              <w:t xml:space="preserve"> configured, activated, scheduled) in all output power requirements</w:t>
            </w:r>
          </w:p>
          <w:p w14:paraId="42B3BE6B" w14:textId="77777777" w:rsidR="00356B0C" w:rsidRPr="008A50E0" w:rsidRDefault="00CF06D4">
            <w:pPr>
              <w:numPr>
                <w:ilvl w:val="0"/>
                <w:numId w:val="10"/>
              </w:numPr>
              <w:spacing w:after="120"/>
              <w:ind w:left="780"/>
              <w:rPr>
                <w:szCs w:val="24"/>
              </w:rPr>
            </w:pPr>
            <w:r w:rsidRPr="008A50E0">
              <w:rPr>
                <w:rFonts w:eastAsia="MS Mincho"/>
                <w:lang w:eastAsia="en-US"/>
              </w:rPr>
              <w:t>Study how to maximize the UL transmission power capability for CA considering e.g.</w:t>
            </w:r>
          </w:p>
          <w:p w14:paraId="049CE8CA" w14:textId="77777777" w:rsidR="00356B0C" w:rsidRPr="008A50E0" w:rsidRDefault="00CF06D4">
            <w:pPr>
              <w:numPr>
                <w:ilvl w:val="1"/>
                <w:numId w:val="10"/>
              </w:numPr>
              <w:spacing w:after="120"/>
              <w:ind w:left="780"/>
              <w:rPr>
                <w:szCs w:val="24"/>
              </w:rPr>
            </w:pPr>
            <w:r w:rsidRPr="008A50E0">
              <w:rPr>
                <w:szCs w:val="24"/>
              </w:rPr>
              <w:t>feasibility of maintaining the ‘single carrier’ UE output power capability of a ‘primary’ or ‘anchor’ carrier at configuration/activation of the spectrum aggregation scheme</w:t>
            </w:r>
          </w:p>
          <w:p w14:paraId="129B3FAA" w14:textId="77777777" w:rsidR="00356B0C" w:rsidRPr="008A50E0" w:rsidRDefault="00CF06D4">
            <w:pPr>
              <w:numPr>
                <w:ilvl w:val="1"/>
                <w:numId w:val="10"/>
              </w:numPr>
              <w:spacing w:after="120"/>
              <w:ind w:left="780"/>
              <w:rPr>
                <w:szCs w:val="24"/>
              </w:rPr>
            </w:pPr>
            <w:r w:rsidRPr="008A50E0">
              <w:rPr>
                <w:szCs w:val="24"/>
              </w:rPr>
              <w:t>single active/configured UL carrier within a DL multi-carrier bandwidth should not increase allowed UE power reduction compared to single carrier</w:t>
            </w:r>
          </w:p>
          <w:p w14:paraId="68E60BA9" w14:textId="77777777" w:rsidR="00356B0C" w:rsidRPr="008A50E0" w:rsidRDefault="00CF06D4">
            <w:pPr>
              <w:numPr>
                <w:ilvl w:val="1"/>
                <w:numId w:val="10"/>
              </w:numPr>
              <w:spacing w:after="120"/>
              <w:ind w:left="780"/>
              <w:rPr>
                <w:szCs w:val="24"/>
              </w:rPr>
            </w:pPr>
            <w:r w:rsidRPr="008A50E0">
              <w:rPr>
                <w:szCs w:val="24"/>
              </w:rPr>
              <w:t>Whether CA power class it still needed for inter-band CA or power class per band or per band per BC is sufficient</w:t>
            </w:r>
          </w:p>
          <w:p w14:paraId="5C5A475B" w14:textId="77777777" w:rsidR="00356B0C" w:rsidRPr="008A50E0" w:rsidRDefault="00CF06D4">
            <w:pPr>
              <w:numPr>
                <w:ilvl w:val="2"/>
                <w:numId w:val="10"/>
              </w:numPr>
              <w:spacing w:after="120"/>
              <w:ind w:left="780"/>
              <w:rPr>
                <w:szCs w:val="24"/>
              </w:rPr>
            </w:pPr>
            <w:r w:rsidRPr="008A50E0">
              <w:rPr>
                <w:szCs w:val="24"/>
              </w:rPr>
              <w:t xml:space="preserve">Identify if any there is any motivation from RAN4 perspective to limit total output power and whether </w:t>
            </w:r>
            <w:r w:rsidRPr="008A50E0">
              <w:rPr>
                <w:szCs w:val="24"/>
              </w:rPr>
              <w:lastRenderedPageBreak/>
              <w:t xml:space="preserve">this needs to be communicated to RAN1. </w:t>
            </w:r>
          </w:p>
          <w:p w14:paraId="0E705CA8" w14:textId="77777777" w:rsidR="00356B0C" w:rsidRPr="008A50E0" w:rsidRDefault="00CF06D4">
            <w:pPr>
              <w:numPr>
                <w:ilvl w:val="3"/>
                <w:numId w:val="10"/>
              </w:numPr>
              <w:spacing w:after="120"/>
              <w:ind w:left="780"/>
              <w:rPr>
                <w:szCs w:val="24"/>
              </w:rPr>
            </w:pPr>
            <w:r w:rsidRPr="008A50E0">
              <w:rPr>
                <w:szCs w:val="24"/>
              </w:rPr>
              <w:t>Recognize that need for total power limit can also depend on RAN1 design of multicarrier schemes</w:t>
            </w:r>
          </w:p>
          <w:p w14:paraId="05DC622D" w14:textId="57F53E95" w:rsidR="00356B0C" w:rsidRPr="00436DCE" w:rsidRDefault="00CF06D4" w:rsidP="00436DCE">
            <w:pPr>
              <w:numPr>
                <w:ilvl w:val="0"/>
                <w:numId w:val="10"/>
              </w:numPr>
              <w:spacing w:after="120"/>
              <w:ind w:left="780"/>
              <w:rPr>
                <w:rFonts w:hint="eastAsia"/>
                <w:szCs w:val="24"/>
              </w:rPr>
            </w:pPr>
            <w:r w:rsidRPr="008A50E0">
              <w:rPr>
                <w:szCs w:val="24"/>
              </w:rPr>
              <w:t>Prioritize discussion for single carrier in RAN4#118</w:t>
            </w:r>
          </w:p>
        </w:tc>
      </w:tr>
    </w:tbl>
    <w:p w14:paraId="1F26D87E" w14:textId="77777777" w:rsidR="00356B0C" w:rsidRPr="008A50E0" w:rsidRDefault="00356B0C">
      <w:pPr>
        <w:snapToGrid w:val="0"/>
        <w:ind w:left="420"/>
        <w:rPr>
          <w:b/>
          <w:bCs/>
          <w:i/>
        </w:rPr>
      </w:pPr>
    </w:p>
    <w:p w14:paraId="304C28F9" w14:textId="77777777" w:rsidR="00356B0C" w:rsidRPr="008A50E0" w:rsidRDefault="00CF06D4" w:rsidP="00436DCE">
      <w:pPr>
        <w:snapToGrid w:val="0"/>
        <w:ind w:leftChars="0" w:left="0"/>
        <w:jc w:val="both"/>
        <w:rPr>
          <w:b/>
          <w:i/>
        </w:rPr>
      </w:pPr>
      <w:r w:rsidRPr="008A50E0">
        <w:rPr>
          <w:b/>
          <w:bCs/>
          <w:i/>
        </w:rPr>
        <w:t>Observation 2-1:</w:t>
      </w:r>
      <w:r w:rsidRPr="008A50E0">
        <w:rPr>
          <w:b/>
          <w:bCs/>
        </w:rPr>
        <w:t xml:space="preserve"> </w:t>
      </w:r>
      <w:r w:rsidRPr="008A50E0">
        <w:rPr>
          <w:b/>
          <w:i/>
        </w:rPr>
        <w:t>The following use cases can be considered under this sub-topic:</w:t>
      </w:r>
    </w:p>
    <w:p w14:paraId="74CCB212" w14:textId="77777777" w:rsidR="00356B0C" w:rsidRPr="008A50E0" w:rsidRDefault="00CF06D4" w:rsidP="00436DCE">
      <w:pPr>
        <w:pStyle w:val="afff"/>
        <w:numPr>
          <w:ilvl w:val="0"/>
          <w:numId w:val="13"/>
        </w:numPr>
        <w:snapToGrid w:val="0"/>
        <w:ind w:leftChars="0" w:firstLineChars="0"/>
        <w:rPr>
          <w:rFonts w:ascii="Times New Roman" w:hAnsi="Times New Roman"/>
          <w:b/>
          <w:i/>
          <w:sz w:val="20"/>
          <w:szCs w:val="20"/>
          <w:lang w:val="en-US"/>
        </w:rPr>
      </w:pPr>
      <w:r w:rsidRPr="008A50E0">
        <w:rPr>
          <w:rFonts w:ascii="Times New Roman" w:hAnsi="Times New Roman"/>
          <w:b/>
          <w:i/>
          <w:sz w:val="20"/>
          <w:szCs w:val="20"/>
          <w:lang w:val="en-US"/>
        </w:rPr>
        <w:t>1: UE is configured with single-carrier UL and single-carrier DL on a band</w:t>
      </w:r>
    </w:p>
    <w:p w14:paraId="6BD83FAB" w14:textId="77777777" w:rsidR="00356B0C" w:rsidRPr="008A50E0" w:rsidRDefault="00CF06D4" w:rsidP="00436DCE">
      <w:pPr>
        <w:pStyle w:val="afff"/>
        <w:numPr>
          <w:ilvl w:val="0"/>
          <w:numId w:val="13"/>
        </w:numPr>
        <w:snapToGrid w:val="0"/>
        <w:ind w:leftChars="0" w:firstLineChars="0"/>
        <w:rPr>
          <w:rFonts w:ascii="Times New Roman" w:hAnsi="Times New Roman"/>
          <w:b/>
          <w:i/>
          <w:sz w:val="20"/>
          <w:szCs w:val="20"/>
          <w:lang w:val="en-US"/>
        </w:rPr>
      </w:pPr>
      <w:r w:rsidRPr="008A50E0">
        <w:rPr>
          <w:rFonts w:ascii="Times New Roman" w:hAnsi="Times New Roman"/>
          <w:b/>
          <w:i/>
          <w:sz w:val="20"/>
          <w:szCs w:val="20"/>
          <w:lang w:val="en-US"/>
        </w:rPr>
        <w:t xml:space="preserve">2: UE is configured with DL CA (inter/intra/both) on ≥1 band(s) and </w:t>
      </w:r>
    </w:p>
    <w:p w14:paraId="620F68F2" w14:textId="77777777" w:rsidR="00356B0C" w:rsidRPr="008A50E0" w:rsidRDefault="00CF06D4" w:rsidP="00436DCE">
      <w:pPr>
        <w:pStyle w:val="afff"/>
        <w:numPr>
          <w:ilvl w:val="1"/>
          <w:numId w:val="13"/>
        </w:numPr>
        <w:snapToGrid w:val="0"/>
        <w:ind w:leftChars="0" w:left="360" w:firstLineChars="0"/>
        <w:rPr>
          <w:rFonts w:ascii="Times New Roman" w:hAnsi="Times New Roman"/>
          <w:b/>
          <w:i/>
          <w:sz w:val="20"/>
          <w:szCs w:val="20"/>
          <w:lang w:val="en-US"/>
        </w:rPr>
      </w:pPr>
      <w:r w:rsidRPr="008A50E0">
        <w:rPr>
          <w:rFonts w:ascii="Times New Roman" w:hAnsi="Times New Roman"/>
          <w:b/>
          <w:i/>
          <w:sz w:val="20"/>
          <w:szCs w:val="20"/>
          <w:lang w:val="en-US"/>
        </w:rPr>
        <w:t>2a: configured with single-carrier UL on one band or</w:t>
      </w:r>
    </w:p>
    <w:p w14:paraId="043A066D" w14:textId="77777777" w:rsidR="00356B0C" w:rsidRPr="008A50E0" w:rsidRDefault="00CF06D4" w:rsidP="00436DCE">
      <w:pPr>
        <w:pStyle w:val="afff"/>
        <w:numPr>
          <w:ilvl w:val="1"/>
          <w:numId w:val="13"/>
        </w:numPr>
        <w:snapToGrid w:val="0"/>
        <w:ind w:leftChars="0" w:left="360" w:firstLineChars="0"/>
        <w:rPr>
          <w:rFonts w:ascii="Times New Roman" w:hAnsi="Times New Roman"/>
          <w:b/>
          <w:lang w:val="en-US" w:eastAsia="en-US"/>
        </w:rPr>
      </w:pPr>
      <w:r w:rsidRPr="008A50E0">
        <w:rPr>
          <w:rFonts w:ascii="Times New Roman" w:hAnsi="Times New Roman"/>
          <w:b/>
          <w:i/>
          <w:sz w:val="20"/>
          <w:szCs w:val="20"/>
          <w:lang w:val="en-US"/>
        </w:rPr>
        <w:t>2b: configured with UL CA but only single-carrier activated or</w:t>
      </w:r>
    </w:p>
    <w:p w14:paraId="41153666" w14:textId="77777777" w:rsidR="00356B0C" w:rsidRPr="008A50E0" w:rsidRDefault="00CF06D4" w:rsidP="00436DCE">
      <w:pPr>
        <w:pStyle w:val="afff"/>
        <w:numPr>
          <w:ilvl w:val="1"/>
          <w:numId w:val="13"/>
        </w:numPr>
        <w:ind w:leftChars="0" w:left="360" w:firstLineChars="0"/>
        <w:rPr>
          <w:rFonts w:ascii="Times New Roman" w:hAnsi="Times New Roman"/>
          <w:b/>
          <w:lang w:val="en-US" w:eastAsia="en-US"/>
        </w:rPr>
      </w:pPr>
      <w:r w:rsidRPr="008A50E0">
        <w:rPr>
          <w:rFonts w:ascii="Times New Roman" w:hAnsi="Times New Roman"/>
          <w:b/>
          <w:i/>
          <w:sz w:val="20"/>
          <w:szCs w:val="20"/>
          <w:lang w:val="en-US"/>
        </w:rPr>
        <w:t>2c: configured with UL CA and all activated but only single-carrier scheduled</w:t>
      </w:r>
    </w:p>
    <w:p w14:paraId="65D4C6BC" w14:textId="77777777" w:rsidR="00356B0C" w:rsidRPr="008A50E0" w:rsidRDefault="00CF06D4" w:rsidP="00436DCE">
      <w:pPr>
        <w:ind w:leftChars="0" w:left="0"/>
        <w:jc w:val="both"/>
        <w:rPr>
          <w:bCs/>
          <w:iCs/>
          <w:lang w:eastAsia="en-US"/>
        </w:rPr>
      </w:pPr>
      <w:r w:rsidRPr="008A50E0">
        <w:rPr>
          <w:bCs/>
          <w:iCs/>
          <w:lang w:eastAsia="en-US"/>
        </w:rPr>
        <w:t>In the following, it’s assumed that the concept of RRC configuration/activation will remain valid for 6G.</w:t>
      </w:r>
    </w:p>
    <w:p w14:paraId="2ED918C7" w14:textId="77777777" w:rsidR="00356B0C" w:rsidRPr="008A50E0" w:rsidRDefault="00CF06D4" w:rsidP="00436DCE">
      <w:pPr>
        <w:ind w:leftChars="0" w:left="0"/>
        <w:jc w:val="both"/>
        <w:rPr>
          <w:bCs/>
          <w:iCs/>
          <w:lang w:eastAsia="en-US"/>
        </w:rPr>
      </w:pPr>
      <w:r w:rsidRPr="008A50E0">
        <w:rPr>
          <w:bCs/>
          <w:iCs/>
          <w:lang w:eastAsia="en-US"/>
        </w:rPr>
        <w:t xml:space="preserve">Case 1 is the simplest to implement and the UE can potentially support the highest power class compared with other use cases. And in this case, a UE can potentially indicate the support of </w:t>
      </w:r>
      <w:proofErr w:type="spellStart"/>
      <w:r w:rsidRPr="008A50E0">
        <w:rPr>
          <w:bCs/>
          <w:iCs/>
          <w:lang w:eastAsia="en-US"/>
        </w:rPr>
        <w:t>TxD</w:t>
      </w:r>
      <w:proofErr w:type="spellEnd"/>
      <w:r w:rsidRPr="008A50E0">
        <w:rPr>
          <w:bCs/>
          <w:iCs/>
          <w:lang w:eastAsia="en-US"/>
        </w:rPr>
        <w:t xml:space="preserve"> and/or UL MIMO. In 5G NR, the power class is assumed to be the same regardless if UL MIMO is configured or not. Subject to the PA configuration, the UE can further indicate different </w:t>
      </w:r>
      <w:proofErr w:type="spellStart"/>
      <w:r w:rsidRPr="008A50E0">
        <w:rPr>
          <w:bCs/>
          <w:iCs/>
          <w:lang w:eastAsia="en-US"/>
        </w:rPr>
        <w:t>ULFPTx</w:t>
      </w:r>
      <w:proofErr w:type="spellEnd"/>
      <w:r w:rsidRPr="008A50E0">
        <w:rPr>
          <w:bCs/>
          <w:iCs/>
          <w:lang w:eastAsia="en-US"/>
        </w:rPr>
        <w:t xml:space="preserve"> modes. </w:t>
      </w:r>
    </w:p>
    <w:p w14:paraId="59985525" w14:textId="77777777" w:rsidR="00356B0C" w:rsidRPr="008A50E0" w:rsidRDefault="00356B0C" w:rsidP="00436DCE">
      <w:pPr>
        <w:ind w:leftChars="0" w:left="0"/>
        <w:jc w:val="both"/>
        <w:rPr>
          <w:bCs/>
          <w:iCs/>
          <w:lang w:eastAsia="en-US"/>
        </w:rPr>
      </w:pPr>
    </w:p>
    <w:p w14:paraId="440757E3" w14:textId="77777777" w:rsidR="00356B0C" w:rsidRPr="008A50E0" w:rsidRDefault="00CF06D4" w:rsidP="00436DCE">
      <w:pPr>
        <w:ind w:leftChars="0" w:left="0"/>
        <w:jc w:val="both"/>
        <w:rPr>
          <w:b/>
          <w:i/>
          <w:lang w:eastAsia="en-US"/>
        </w:rPr>
      </w:pPr>
      <w:bookmarkStart w:id="6" w:name="_Hlk219475374"/>
      <w:r w:rsidRPr="008A50E0">
        <w:rPr>
          <w:b/>
          <w:i/>
          <w:lang w:eastAsia="en-US"/>
        </w:rPr>
        <w:t xml:space="preserve">Proposal 2-1: For the case (#1) when the UE is configured with single-carrier UL and single-carrier DL on a band, further study how to efficiently support </w:t>
      </w:r>
      <w:proofErr w:type="spellStart"/>
      <w:r w:rsidRPr="008A50E0">
        <w:rPr>
          <w:b/>
          <w:i/>
          <w:lang w:eastAsia="en-US"/>
        </w:rPr>
        <w:t>TxD</w:t>
      </w:r>
      <w:proofErr w:type="spellEnd"/>
      <w:r w:rsidRPr="008A50E0">
        <w:rPr>
          <w:b/>
          <w:i/>
          <w:lang w:eastAsia="en-US"/>
        </w:rPr>
        <w:t xml:space="preserve"> and </w:t>
      </w:r>
      <w:proofErr w:type="spellStart"/>
      <w:r w:rsidRPr="008A50E0">
        <w:rPr>
          <w:b/>
          <w:i/>
          <w:lang w:eastAsia="en-US"/>
        </w:rPr>
        <w:t>ULFPTx</w:t>
      </w:r>
      <w:proofErr w:type="spellEnd"/>
      <w:r w:rsidRPr="008A50E0">
        <w:rPr>
          <w:b/>
          <w:i/>
          <w:lang w:eastAsia="en-US"/>
        </w:rPr>
        <w:t>, including UE RF requirements as well as capability signaling design, by considering but not limited to the underlying PA configuration as well as insertion loss difference between different Tx paths.</w:t>
      </w:r>
    </w:p>
    <w:bookmarkEnd w:id="6"/>
    <w:p w14:paraId="68C38B6F" w14:textId="77777777" w:rsidR="00356B0C" w:rsidRPr="008A50E0" w:rsidRDefault="00356B0C" w:rsidP="00436DCE">
      <w:pPr>
        <w:ind w:leftChars="0" w:left="0"/>
        <w:jc w:val="both"/>
        <w:rPr>
          <w:b/>
          <w:i/>
          <w:lang w:eastAsia="en-US"/>
        </w:rPr>
      </w:pPr>
    </w:p>
    <w:p w14:paraId="30C917B6" w14:textId="77777777" w:rsidR="00356B0C" w:rsidRPr="008A50E0" w:rsidRDefault="00CF06D4" w:rsidP="00436DCE">
      <w:pPr>
        <w:ind w:leftChars="0" w:left="0"/>
        <w:jc w:val="both"/>
        <w:rPr>
          <w:bCs/>
          <w:iCs/>
          <w:lang w:eastAsia="en-US"/>
        </w:rPr>
      </w:pPr>
      <w:r w:rsidRPr="008A50E0">
        <w:rPr>
          <w:bCs/>
          <w:iCs/>
          <w:lang w:eastAsia="en-US"/>
        </w:rPr>
        <w:t>There had been prolonged discussion in RAN4 in Rel-18 regarding the power class for case 2a (i.e., when UE is configured with DL CA but single-carrier UL). It was proposed that the UE should mandatorily support the same power class as for case 1. Although desirable, many UE vendors preferred more flexibility for implementation. Technically speaking, the Tx insertion loss could become higher when more bands are aggregated in the DL. Additionally, the power consumption and thermal management caused by increased DL CA processing could also constrain the potential Tx power.</w:t>
      </w:r>
    </w:p>
    <w:p w14:paraId="2D9F7AA8" w14:textId="77777777" w:rsidR="00356B0C" w:rsidRPr="008A50E0" w:rsidRDefault="00356B0C" w:rsidP="00436DCE">
      <w:pPr>
        <w:ind w:leftChars="0" w:left="0"/>
        <w:jc w:val="both"/>
        <w:rPr>
          <w:bCs/>
          <w:iCs/>
          <w:lang w:eastAsia="en-US"/>
        </w:rPr>
      </w:pPr>
    </w:p>
    <w:p w14:paraId="5A315B31" w14:textId="77777777" w:rsidR="00356B0C" w:rsidRPr="008A50E0" w:rsidRDefault="00CF06D4" w:rsidP="00436DCE">
      <w:pPr>
        <w:ind w:leftChars="0" w:left="0"/>
        <w:jc w:val="both"/>
        <w:rPr>
          <w:b/>
          <w:i/>
          <w:lang w:eastAsia="en-US"/>
        </w:rPr>
      </w:pPr>
      <w:r w:rsidRPr="008A50E0">
        <w:rPr>
          <w:b/>
          <w:i/>
          <w:lang w:eastAsia="en-US"/>
        </w:rPr>
        <w:t>Proposal 2-2: For the case (#2a) when the UE is configured with DL CA but single-carrier UL, the power class per band could be considered if there are no strong concerns from UE vendors.</w:t>
      </w:r>
    </w:p>
    <w:p w14:paraId="328450AD" w14:textId="77777777" w:rsidR="00356B0C" w:rsidRPr="008A50E0" w:rsidRDefault="00356B0C" w:rsidP="00436DCE">
      <w:pPr>
        <w:ind w:leftChars="0" w:left="0"/>
        <w:jc w:val="both"/>
        <w:rPr>
          <w:b/>
          <w:i/>
          <w:lang w:eastAsia="en-US"/>
        </w:rPr>
      </w:pPr>
    </w:p>
    <w:p w14:paraId="1917C994" w14:textId="77777777" w:rsidR="00356B0C" w:rsidRPr="008A50E0" w:rsidRDefault="00CF06D4" w:rsidP="00436DCE">
      <w:pPr>
        <w:ind w:leftChars="0" w:left="0"/>
        <w:jc w:val="both"/>
        <w:rPr>
          <w:bCs/>
          <w:iCs/>
          <w:lang w:eastAsia="en-US"/>
        </w:rPr>
      </w:pPr>
      <w:r w:rsidRPr="008A50E0">
        <w:rPr>
          <w:bCs/>
          <w:iCs/>
          <w:lang w:eastAsia="en-US"/>
        </w:rPr>
        <w:t>For case 2b, a UE could potentially support the same power class as for case 2a. The main concern is that the Tx power capability per carrier could change if another carrier is activated in the UL. It is noted that power control is performed not per band, but rather per carrier/CC. The UE may need to re-configure its PAs and LOs in order to support the additional carrier. For example, PC1.5 with 2Tx may be supported when only one carrier is activated, while the Tx power capability could downgrade to PC2 for each carrier if both are activated and each PA covers one carrier each.</w:t>
      </w:r>
    </w:p>
    <w:p w14:paraId="409CE63E" w14:textId="77777777" w:rsidR="00356B0C" w:rsidRPr="008A50E0" w:rsidRDefault="00356B0C">
      <w:pPr>
        <w:ind w:left="420"/>
        <w:jc w:val="both"/>
        <w:rPr>
          <w:bCs/>
          <w:iCs/>
          <w:lang w:eastAsia="en-US"/>
        </w:rPr>
      </w:pPr>
    </w:p>
    <w:p w14:paraId="5E39AA32" w14:textId="77777777" w:rsidR="00356B0C" w:rsidRPr="008A50E0" w:rsidRDefault="00CF06D4" w:rsidP="00436DCE">
      <w:pPr>
        <w:ind w:leftChars="0" w:left="0"/>
        <w:jc w:val="both"/>
        <w:rPr>
          <w:b/>
          <w:i/>
          <w:lang w:eastAsia="en-US"/>
        </w:rPr>
      </w:pPr>
      <w:r w:rsidRPr="008A50E0">
        <w:rPr>
          <w:b/>
          <w:i/>
          <w:lang w:eastAsia="en-US"/>
        </w:rPr>
        <w:lastRenderedPageBreak/>
        <w:t>Proposal 2-3: For the case (#2b) when a UE is configured with UL CA but with only single-carrier activated, the UE might be able to support the same power class as case #2a. However, as another UL carrier could be activated by the network at any time, it’s very challenging for the UE to decide its transceiver configuration during this status.</w:t>
      </w:r>
    </w:p>
    <w:p w14:paraId="6543198D" w14:textId="77777777" w:rsidR="00356B0C" w:rsidRPr="008A50E0" w:rsidRDefault="00356B0C" w:rsidP="00436DCE">
      <w:pPr>
        <w:ind w:leftChars="0" w:left="0"/>
        <w:jc w:val="both"/>
        <w:rPr>
          <w:b/>
          <w:i/>
          <w:lang w:eastAsia="en-US"/>
        </w:rPr>
      </w:pPr>
    </w:p>
    <w:p w14:paraId="5A382ACF" w14:textId="77777777" w:rsidR="00356B0C" w:rsidRPr="008A50E0" w:rsidRDefault="00CF06D4" w:rsidP="00436DCE">
      <w:pPr>
        <w:ind w:leftChars="0" w:left="0"/>
        <w:jc w:val="both"/>
        <w:rPr>
          <w:bCs/>
          <w:iCs/>
          <w:lang w:eastAsia="en-US"/>
        </w:rPr>
      </w:pPr>
      <w:r w:rsidRPr="008A50E0">
        <w:rPr>
          <w:bCs/>
          <w:iCs/>
          <w:lang w:eastAsia="en-US"/>
        </w:rPr>
        <w:t>Case 2c is the most dynamic one, since the UL scheduling could switch between one carrier and two carriers in the matter of several slots. A UE could potentially support higher power class for the single-carrier if it can switch its PAs and LOs to the same carrier in time. Practically speaking, Tx switching time and DL interruption time might be needed.</w:t>
      </w:r>
    </w:p>
    <w:p w14:paraId="37CF3951" w14:textId="77777777" w:rsidR="00356B0C" w:rsidRPr="008A50E0" w:rsidRDefault="00356B0C" w:rsidP="00436DCE">
      <w:pPr>
        <w:ind w:leftChars="0" w:left="0"/>
        <w:jc w:val="both"/>
        <w:rPr>
          <w:bCs/>
          <w:iCs/>
          <w:lang w:eastAsia="en-US"/>
        </w:rPr>
      </w:pPr>
    </w:p>
    <w:p w14:paraId="23D6A468" w14:textId="77777777" w:rsidR="00356B0C" w:rsidRPr="008A50E0" w:rsidRDefault="00CF06D4" w:rsidP="00436DCE">
      <w:pPr>
        <w:ind w:leftChars="0" w:left="0"/>
        <w:jc w:val="both"/>
        <w:rPr>
          <w:b/>
          <w:i/>
          <w:lang w:eastAsia="en-US"/>
        </w:rPr>
      </w:pPr>
      <w:r w:rsidRPr="008A50E0">
        <w:rPr>
          <w:b/>
          <w:i/>
          <w:lang w:eastAsia="en-US"/>
        </w:rPr>
        <w:t xml:space="preserve">Proposal 2-4: For the case (#2c) when a UE is configured with UL CA, both activated but only single-carrier scheduled, the UE may be able to support a higher power class than that for two scheduled carriers, provided that the UE is capable of Tx switching (for intra-band or inter-band). The RF requirements (including power class, Tx switching time, DL interruption, etc.) as well as capability signaling should be considered within the generic Tx switching framework, which is FFS.    </w:t>
      </w:r>
    </w:p>
    <w:p w14:paraId="7C6DE44C" w14:textId="77777777" w:rsidR="00356B0C" w:rsidRPr="008A50E0" w:rsidRDefault="00CF06D4" w:rsidP="00436DCE">
      <w:pPr>
        <w:spacing w:beforeLines="50" w:before="120"/>
        <w:ind w:leftChars="0" w:left="0"/>
        <w:jc w:val="both"/>
      </w:pPr>
      <w:r w:rsidRPr="008A50E0">
        <w:t>For inter-band UL CA, the power class for the band combination as defined in NR might not be needed. Instead, the power class per band per BC is the key to determine the maximum total Tx power as well as the max Tx power per band under CA.</w:t>
      </w:r>
    </w:p>
    <w:p w14:paraId="1EDC327E" w14:textId="77777777" w:rsidR="00356B0C" w:rsidRPr="008A50E0" w:rsidRDefault="00356B0C" w:rsidP="00436DCE">
      <w:pPr>
        <w:spacing w:beforeLines="50" w:before="120"/>
        <w:ind w:leftChars="0" w:left="0"/>
        <w:jc w:val="both"/>
      </w:pPr>
    </w:p>
    <w:p w14:paraId="0089E16C" w14:textId="77777777" w:rsidR="00356B0C" w:rsidRPr="008A50E0" w:rsidRDefault="00CF06D4" w:rsidP="00436DCE">
      <w:pPr>
        <w:ind w:leftChars="0" w:left="0"/>
        <w:jc w:val="both"/>
      </w:pPr>
      <w:r w:rsidRPr="008A50E0">
        <w:t>For Tx switching in 5G, it’s unclear what are the applicable power class capabilities for a band or for a BC after Tx switching is performed among multiple bands. This should be clarified when developing 6GR specifications.</w:t>
      </w:r>
    </w:p>
    <w:p w14:paraId="449990F3" w14:textId="77777777" w:rsidR="00356B0C" w:rsidRPr="008A50E0" w:rsidRDefault="00356B0C" w:rsidP="00436DCE">
      <w:pPr>
        <w:ind w:leftChars="0" w:left="0"/>
        <w:jc w:val="both"/>
      </w:pPr>
    </w:p>
    <w:p w14:paraId="525A9444" w14:textId="77777777" w:rsidR="00356B0C" w:rsidRPr="008A50E0" w:rsidRDefault="00CF06D4" w:rsidP="00436DCE">
      <w:pPr>
        <w:ind w:leftChars="0" w:left="0"/>
        <w:jc w:val="both"/>
        <w:rPr>
          <w:bCs/>
          <w:iCs/>
          <w:lang w:eastAsia="en-US"/>
        </w:rPr>
      </w:pPr>
      <w:r w:rsidRPr="008A50E0">
        <w:rPr>
          <w:b/>
          <w:bCs/>
          <w:i/>
          <w:lang w:eastAsia="en-US"/>
        </w:rPr>
        <w:t>Proposal 2-5: For inter-band UL CA, the power class per band per BC should be considered. For inter-band Tx switching, the applicable power class per band in a band pair should be further studied.</w:t>
      </w:r>
    </w:p>
    <w:p w14:paraId="77F6DFC6" w14:textId="77777777" w:rsidR="00356B0C" w:rsidRDefault="00CF06D4">
      <w:pPr>
        <w:pStyle w:val="10"/>
        <w:rPr>
          <w:rFonts w:eastAsia="宋体"/>
        </w:rPr>
      </w:pPr>
      <w:r>
        <w:rPr>
          <w:rFonts w:eastAsia="宋体" w:hint="eastAsia"/>
        </w:rPr>
        <w:t>Conclusion</w:t>
      </w:r>
    </w:p>
    <w:p w14:paraId="54F39E6C" w14:textId="77777777" w:rsidR="00356B0C" w:rsidRPr="008A50E0" w:rsidRDefault="00CF06D4" w:rsidP="00436DCE">
      <w:pPr>
        <w:ind w:leftChars="0" w:left="0"/>
        <w:jc w:val="both"/>
      </w:pPr>
      <w:r w:rsidRPr="008A50E0">
        <w:t>This contribution provides our considerations on UE output power for 6G.</w:t>
      </w:r>
    </w:p>
    <w:p w14:paraId="211179DE" w14:textId="77777777" w:rsidR="00356B0C" w:rsidRPr="008A50E0" w:rsidRDefault="00CF06D4" w:rsidP="00436DCE">
      <w:pPr>
        <w:ind w:leftChars="0" w:left="0"/>
        <w:jc w:val="both"/>
        <w:rPr>
          <w:b/>
          <w:i/>
          <w:highlight w:val="lightGray"/>
          <w:u w:val="single"/>
        </w:rPr>
      </w:pPr>
      <w:r w:rsidRPr="008A50E0">
        <w:rPr>
          <w:b/>
          <w:i/>
          <w:highlight w:val="lightGray"/>
          <w:u w:val="single"/>
        </w:rPr>
        <w:t>Single carrier output power</w:t>
      </w:r>
    </w:p>
    <w:p w14:paraId="1E631C8C" w14:textId="77777777" w:rsidR="002D3FD8" w:rsidRPr="001B7E39" w:rsidRDefault="002D3FD8" w:rsidP="00436DCE">
      <w:pPr>
        <w:ind w:leftChars="0" w:left="0"/>
        <w:jc w:val="both"/>
        <w:rPr>
          <w:b/>
          <w:bCs/>
          <w:u w:val="single"/>
        </w:rPr>
      </w:pPr>
      <w:r w:rsidRPr="001B7E39">
        <w:rPr>
          <w:b/>
          <w:bCs/>
          <w:u w:val="single"/>
        </w:rPr>
        <w:t>Issue 1: Step size between power classes</w:t>
      </w:r>
    </w:p>
    <w:p w14:paraId="367CEAF4" w14:textId="7BEAA654" w:rsidR="00356B0C" w:rsidRPr="008A50E0" w:rsidRDefault="00CF06D4" w:rsidP="00436DCE">
      <w:pPr>
        <w:spacing w:beforeLines="50" w:before="120"/>
        <w:ind w:leftChars="0" w:left="0"/>
        <w:jc w:val="both"/>
        <w:rPr>
          <w:b/>
          <w:bCs/>
        </w:rPr>
      </w:pPr>
      <w:r w:rsidRPr="008A50E0">
        <w:rPr>
          <w:b/>
          <w:bCs/>
        </w:rPr>
        <w:t>Observation 1-1: In summary, it seems very challenging to define only one set of MPR or A-MPR requirements that are applicable for all MOP levels (with 1dB step size). On the other hand, to define one set of MPR/A-MPR requirements for each MOP level would bring excessive overhead to the specs.</w:t>
      </w:r>
    </w:p>
    <w:p w14:paraId="714E5A0B" w14:textId="77777777" w:rsidR="00356B0C" w:rsidRPr="008A50E0" w:rsidRDefault="00CF06D4" w:rsidP="00436DCE">
      <w:pPr>
        <w:spacing w:beforeLines="50" w:before="120"/>
        <w:ind w:leftChars="0" w:left="0"/>
        <w:jc w:val="both"/>
        <w:rPr>
          <w:b/>
          <w:bCs/>
        </w:rPr>
      </w:pPr>
      <w:r w:rsidRPr="008A50E0">
        <w:rPr>
          <w:b/>
          <w:bCs/>
        </w:rPr>
        <w:t>Observation 1-2: If MPR/A-MPR is non-zero, the max Tx power of a UE is always in the range of P</w:t>
      </w:r>
      <w:r w:rsidRPr="008A50E0">
        <w:rPr>
          <w:b/>
          <w:bCs/>
          <w:vertAlign w:val="subscript"/>
        </w:rPr>
        <w:t>CMAX_L</w:t>
      </w:r>
      <w:r w:rsidRPr="008A50E0">
        <w:rPr>
          <w:b/>
          <w:bCs/>
        </w:rPr>
        <w:t xml:space="preserve"> and P</w:t>
      </w:r>
      <w:r w:rsidRPr="008A50E0">
        <w:rPr>
          <w:b/>
          <w:bCs/>
          <w:vertAlign w:val="subscript"/>
        </w:rPr>
        <w:t>CMAX_H</w:t>
      </w:r>
      <w:r w:rsidRPr="008A50E0">
        <w:rPr>
          <w:b/>
          <w:bCs/>
        </w:rPr>
        <w:t>. Reporting the MOP with finer granularity does not necessarily reduce the uncertainty on the UE’s max Tx power from the network perspective.</w:t>
      </w:r>
    </w:p>
    <w:p w14:paraId="65E15C2B" w14:textId="77777777" w:rsidR="00356B0C" w:rsidRPr="008A50E0" w:rsidRDefault="00CF06D4" w:rsidP="00436DCE">
      <w:pPr>
        <w:spacing w:beforeLines="50" w:before="120"/>
        <w:ind w:leftChars="0" w:left="0"/>
        <w:jc w:val="both"/>
        <w:rPr>
          <w:b/>
          <w:bCs/>
        </w:rPr>
      </w:pPr>
      <w:r w:rsidRPr="008A50E0">
        <w:rPr>
          <w:b/>
          <w:bCs/>
        </w:rPr>
        <w:t xml:space="preserve">Proposal 1-1: Further study two options of the step size for power classes: 3dB and 1dB. For 3dB step size, study how to allow output power levels between MOP and MOP+3dB. For 1dB step size, study how to address </w:t>
      </w:r>
      <w:r w:rsidRPr="008A50E0">
        <w:rPr>
          <w:b/>
          <w:bCs/>
        </w:rPr>
        <w:lastRenderedPageBreak/>
        <w:t>the challenges of defining corresponding MPR/A-MPR requirements as well as REFSENS requirements.</w:t>
      </w:r>
    </w:p>
    <w:p w14:paraId="1199C759" w14:textId="61DAA496" w:rsidR="00356B0C" w:rsidRDefault="00356B0C" w:rsidP="00436DCE">
      <w:pPr>
        <w:ind w:leftChars="0" w:left="0"/>
        <w:jc w:val="both"/>
        <w:rPr>
          <w:iCs/>
        </w:rPr>
      </w:pPr>
    </w:p>
    <w:p w14:paraId="517652EE" w14:textId="77777777" w:rsidR="002D3FD8" w:rsidRPr="001B7E39" w:rsidRDefault="002D3FD8" w:rsidP="00436DCE">
      <w:pPr>
        <w:spacing w:beforeLines="50" w:before="120"/>
        <w:ind w:leftChars="0" w:left="0"/>
        <w:jc w:val="both"/>
        <w:rPr>
          <w:b/>
          <w:bCs/>
          <w:u w:val="single"/>
        </w:rPr>
      </w:pPr>
      <w:r w:rsidRPr="001B7E39">
        <w:rPr>
          <w:b/>
          <w:bCs/>
          <w:u w:val="single"/>
        </w:rPr>
        <w:t>Issue 2: Power class for multi-Tx</w:t>
      </w:r>
    </w:p>
    <w:p w14:paraId="5381601F" w14:textId="77777777" w:rsidR="00356B0C" w:rsidRPr="008A50E0" w:rsidRDefault="00CF06D4" w:rsidP="00436DCE">
      <w:pPr>
        <w:spacing w:beforeLines="50" w:before="120"/>
        <w:ind w:leftChars="0" w:left="0"/>
        <w:jc w:val="both"/>
        <w:rPr>
          <w:b/>
          <w:bCs/>
        </w:rPr>
      </w:pPr>
      <w:r w:rsidRPr="008A50E0">
        <w:rPr>
          <w:b/>
          <w:bCs/>
        </w:rPr>
        <w:t>Proposal 1-2: It’s feasible to define power class related requirements based on one Tx number, provided that small adjustments for other Tx numbers are allowed, while drawback of this way in terms of concurrent usage of other feature like power boosting/MPR reduction and NW scheduling should be further discussed. For multi-Tx with different PA capabilities, the MPR requirements can be bounded by those for lower/higher power classes. The details are FFS.</w:t>
      </w:r>
    </w:p>
    <w:p w14:paraId="08C4CCE0" w14:textId="77777777" w:rsidR="002D3FD8" w:rsidRDefault="002D3FD8" w:rsidP="00436DCE">
      <w:pPr>
        <w:spacing w:beforeLines="50" w:before="120"/>
        <w:ind w:leftChars="0" w:left="0"/>
        <w:jc w:val="both"/>
        <w:rPr>
          <w:b/>
          <w:bCs/>
          <w:u w:val="single"/>
        </w:rPr>
      </w:pPr>
    </w:p>
    <w:p w14:paraId="3EF66BE4" w14:textId="2829953C" w:rsidR="00356B0C" w:rsidRPr="008A50E0" w:rsidRDefault="002D3FD8" w:rsidP="00436DCE">
      <w:pPr>
        <w:spacing w:beforeLines="50" w:before="120"/>
        <w:ind w:leftChars="0" w:left="0"/>
        <w:jc w:val="both"/>
        <w:rPr>
          <w:b/>
          <w:bCs/>
        </w:rPr>
      </w:pPr>
      <w:r w:rsidRPr="001B7E39">
        <w:rPr>
          <w:b/>
          <w:bCs/>
          <w:u w:val="single"/>
        </w:rPr>
        <w:t xml:space="preserve">Issue 3: How to enable </w:t>
      </w:r>
      <w:r w:rsidRPr="001B7E39">
        <w:rPr>
          <w:b/>
          <w:bCs/>
          <w:szCs w:val="24"/>
          <w:u w:val="single"/>
        </w:rPr>
        <w:t>fully utilizing PA capabilities</w:t>
      </w:r>
    </w:p>
    <w:p w14:paraId="2848DD6A" w14:textId="77777777" w:rsidR="00356B0C" w:rsidRPr="008A50E0" w:rsidRDefault="00CF06D4" w:rsidP="00436DCE">
      <w:pPr>
        <w:spacing w:beforeLines="50" w:before="120"/>
        <w:ind w:leftChars="0" w:left="0"/>
        <w:jc w:val="both"/>
        <w:rPr>
          <w:b/>
          <w:bCs/>
        </w:rPr>
      </w:pPr>
      <w:r w:rsidRPr="008A50E0">
        <w:rPr>
          <w:b/>
          <w:bCs/>
        </w:rPr>
        <w:t>Proposal 1-3: Further study the following options:</w:t>
      </w:r>
    </w:p>
    <w:p w14:paraId="0E62F384" w14:textId="4A263B0D" w:rsidR="00356B0C" w:rsidRPr="008A50E0" w:rsidRDefault="00CF06D4" w:rsidP="00436DCE">
      <w:pPr>
        <w:spacing w:beforeLines="50" w:before="120"/>
        <w:ind w:leftChars="0" w:left="0"/>
        <w:jc w:val="both"/>
        <w:rPr>
          <w:b/>
          <w:bCs/>
        </w:rPr>
      </w:pPr>
      <w:r w:rsidRPr="008A50E0">
        <w:rPr>
          <w:b/>
          <w:bCs/>
        </w:rPr>
        <w:tab/>
        <w:t>- Allow higher Tx power by increasing the upper bound (P</w:t>
      </w:r>
      <w:r w:rsidRPr="008A50E0">
        <w:rPr>
          <w:b/>
          <w:bCs/>
          <w:vertAlign w:val="subscript"/>
        </w:rPr>
        <w:t>CMAX_H</w:t>
      </w:r>
      <w:r w:rsidRPr="008A50E0">
        <w:rPr>
          <w:b/>
          <w:bCs/>
        </w:rPr>
        <w:t>) by [2]</w:t>
      </w:r>
      <w:r w:rsidR="00B0004C">
        <w:rPr>
          <w:b/>
          <w:bCs/>
        </w:rPr>
        <w:t xml:space="preserve"> </w:t>
      </w:r>
      <w:r w:rsidRPr="008A50E0">
        <w:rPr>
          <w:b/>
          <w:bCs/>
        </w:rPr>
        <w:t xml:space="preserve">dB, e.g., </w:t>
      </w:r>
      <w:proofErr w:type="spellStart"/>
      <w:r w:rsidRPr="008A50E0">
        <w:rPr>
          <w:b/>
          <w:bCs/>
        </w:rPr>
        <w:t>P</w:t>
      </w:r>
      <w:r w:rsidRPr="008A50E0">
        <w:rPr>
          <w:b/>
          <w:bCs/>
          <w:vertAlign w:val="subscript"/>
        </w:rPr>
        <w:t>CMAX_</w:t>
      </w:r>
      <w:proofErr w:type="gramStart"/>
      <w:r w:rsidRPr="008A50E0">
        <w:rPr>
          <w:b/>
          <w:bCs/>
          <w:vertAlign w:val="subscript"/>
        </w:rPr>
        <w:t>H,f</w:t>
      </w:r>
      <w:proofErr w:type="gramEnd"/>
      <w:r w:rsidRPr="008A50E0">
        <w:rPr>
          <w:b/>
          <w:bCs/>
          <w:vertAlign w:val="subscript"/>
        </w:rPr>
        <w:t>,c</w:t>
      </w:r>
      <w:proofErr w:type="spellEnd"/>
      <w:r w:rsidRPr="008A50E0">
        <w:rPr>
          <w:b/>
          <w:bCs/>
        </w:rPr>
        <w:t xml:space="preserve"> = MIN {</w:t>
      </w:r>
      <w:proofErr w:type="spellStart"/>
      <w:r w:rsidRPr="008A50E0">
        <w:rPr>
          <w:b/>
          <w:bCs/>
        </w:rPr>
        <w:t>P</w:t>
      </w:r>
      <w:r w:rsidRPr="008A50E0">
        <w:rPr>
          <w:b/>
          <w:bCs/>
          <w:vertAlign w:val="subscript"/>
        </w:rPr>
        <w:t>EMAX,c</w:t>
      </w:r>
      <w:proofErr w:type="spellEnd"/>
      <w:r w:rsidRPr="008A50E0">
        <w:rPr>
          <w:b/>
          <w:bCs/>
        </w:rPr>
        <w:t xml:space="preserve">,  </w:t>
      </w:r>
      <w:proofErr w:type="spellStart"/>
      <w:r w:rsidRPr="008A50E0">
        <w:rPr>
          <w:b/>
          <w:bCs/>
        </w:rPr>
        <w:t>P</w:t>
      </w:r>
      <w:r w:rsidRPr="008A50E0">
        <w:rPr>
          <w:b/>
          <w:bCs/>
          <w:vertAlign w:val="subscript"/>
        </w:rPr>
        <w:t>PowerClass</w:t>
      </w:r>
      <w:proofErr w:type="spellEnd"/>
      <w:r w:rsidRPr="008A50E0">
        <w:rPr>
          <w:b/>
          <w:bCs/>
        </w:rPr>
        <w:t xml:space="preserve"> + [2]dB};</w:t>
      </w:r>
    </w:p>
    <w:p w14:paraId="0524D7CA" w14:textId="77777777" w:rsidR="00356B0C" w:rsidRPr="008A50E0" w:rsidRDefault="00CF06D4" w:rsidP="00436DCE">
      <w:pPr>
        <w:spacing w:beforeLines="50" w:before="120"/>
        <w:ind w:leftChars="0" w:left="0"/>
        <w:jc w:val="both"/>
        <w:rPr>
          <w:b/>
          <w:bCs/>
        </w:rPr>
      </w:pPr>
      <w:r w:rsidRPr="008A50E0">
        <w:rPr>
          <w:b/>
          <w:bCs/>
        </w:rPr>
        <w:tab/>
        <w:t>- Simplify the requirements for power boosting, make them easy to understand and implement.</w:t>
      </w:r>
    </w:p>
    <w:p w14:paraId="1C4E7D5D" w14:textId="77777777" w:rsidR="002D3FD8" w:rsidRDefault="002D3FD8" w:rsidP="00436DCE">
      <w:pPr>
        <w:ind w:leftChars="0" w:left="0"/>
        <w:jc w:val="both"/>
        <w:rPr>
          <w:b/>
          <w:bCs/>
        </w:rPr>
      </w:pPr>
    </w:p>
    <w:p w14:paraId="62C90C56" w14:textId="55EB17BB" w:rsidR="002D3FD8" w:rsidRPr="008A50E0" w:rsidRDefault="002D3FD8" w:rsidP="00436DCE">
      <w:pPr>
        <w:spacing w:beforeLines="50" w:before="120"/>
        <w:ind w:leftChars="0" w:left="0"/>
        <w:jc w:val="both"/>
        <w:rPr>
          <w:b/>
          <w:bCs/>
        </w:rPr>
      </w:pPr>
      <w:r w:rsidRPr="001B7E39">
        <w:rPr>
          <w:b/>
          <w:bCs/>
          <w:u w:val="single"/>
        </w:rPr>
        <w:t>Issue 4: Default power class</w:t>
      </w:r>
    </w:p>
    <w:p w14:paraId="2A58ECD4" w14:textId="77777777" w:rsidR="00356B0C" w:rsidRPr="008A50E0" w:rsidRDefault="00CF06D4" w:rsidP="00436DCE">
      <w:pPr>
        <w:ind w:leftChars="0" w:left="0"/>
        <w:jc w:val="both"/>
        <w:rPr>
          <w:b/>
          <w:iCs/>
          <w:lang w:eastAsia="en-US"/>
        </w:rPr>
      </w:pPr>
      <w:r w:rsidRPr="008A50E0">
        <w:rPr>
          <w:b/>
          <w:iCs/>
          <w:lang w:eastAsia="en-US"/>
        </w:rPr>
        <w:t>Proposal 1-4: The default power class for a band means that the UE operating on this band should at least support the default power class. It’s feasible to set the default power class to PC2 for TDD bands and PC3 for FDD bands. Lower power classes should be allowed for specific types of UEs, such IoT UEs.</w:t>
      </w:r>
    </w:p>
    <w:p w14:paraId="30825B4E" w14:textId="026E0BAC" w:rsidR="00356B0C" w:rsidRPr="008A50E0" w:rsidRDefault="00356B0C" w:rsidP="00436DCE">
      <w:pPr>
        <w:ind w:leftChars="0" w:left="0"/>
        <w:jc w:val="both"/>
        <w:rPr>
          <w:b/>
          <w:iCs/>
          <w:lang w:eastAsia="en-US"/>
        </w:rPr>
      </w:pPr>
    </w:p>
    <w:p w14:paraId="13F59475" w14:textId="30F6EC7E" w:rsidR="00356B0C" w:rsidRPr="008A50E0" w:rsidRDefault="00CF06D4" w:rsidP="00436DCE">
      <w:pPr>
        <w:spacing w:beforeLines="50" w:before="120"/>
        <w:ind w:leftChars="0" w:left="0"/>
        <w:jc w:val="both"/>
        <w:rPr>
          <w:b/>
          <w:bCs/>
        </w:rPr>
      </w:pPr>
      <w:r w:rsidRPr="008A50E0">
        <w:rPr>
          <w:b/>
          <w:bCs/>
        </w:rPr>
        <w:t>Proposal 1-5: Study and evaluate the performance benefit</w:t>
      </w:r>
      <w:r w:rsidR="002D3FD8">
        <w:rPr>
          <w:b/>
          <w:bCs/>
        </w:rPr>
        <w:t>s</w:t>
      </w:r>
      <w:r w:rsidRPr="008A50E0">
        <w:rPr>
          <w:b/>
          <w:bCs/>
        </w:rPr>
        <w:t xml:space="preserve"> for different Power Class</w:t>
      </w:r>
      <w:r w:rsidR="002D3FD8">
        <w:rPr>
          <w:b/>
          <w:bCs/>
        </w:rPr>
        <w:t>es</w:t>
      </w:r>
      <w:r w:rsidRPr="008A50E0">
        <w:rPr>
          <w:b/>
          <w:bCs/>
        </w:rPr>
        <w:t xml:space="preserve"> for ~7GHz including PC1.5.</w:t>
      </w:r>
    </w:p>
    <w:p w14:paraId="4F4D0D2B" w14:textId="309D0884" w:rsidR="00356B0C" w:rsidRDefault="00356B0C" w:rsidP="00436DCE">
      <w:pPr>
        <w:ind w:leftChars="0" w:left="0"/>
        <w:jc w:val="both"/>
        <w:rPr>
          <w:b/>
          <w:iCs/>
          <w:lang w:eastAsia="en-US"/>
        </w:rPr>
      </w:pPr>
    </w:p>
    <w:p w14:paraId="135C8E84" w14:textId="60D41A45" w:rsidR="002D3FD8" w:rsidRPr="008A50E0" w:rsidRDefault="002D3FD8" w:rsidP="00436DCE">
      <w:pPr>
        <w:ind w:leftChars="0" w:left="0"/>
        <w:jc w:val="both"/>
        <w:rPr>
          <w:b/>
          <w:iCs/>
          <w:lang w:eastAsia="en-US"/>
        </w:rPr>
      </w:pPr>
      <w:r w:rsidRPr="001B7E39">
        <w:rPr>
          <w:b/>
          <w:bCs/>
          <w:u w:val="single"/>
        </w:rPr>
        <w:t>Issue 5: SAR and UL duty cycle</w:t>
      </w:r>
    </w:p>
    <w:p w14:paraId="59FEFB18" w14:textId="72C67AAC" w:rsidR="00356B0C" w:rsidRDefault="00CF06D4" w:rsidP="00436DCE">
      <w:pPr>
        <w:ind w:leftChars="0" w:left="0"/>
        <w:jc w:val="both"/>
        <w:rPr>
          <w:b/>
          <w:iCs/>
          <w:lang w:eastAsia="en-US"/>
        </w:rPr>
      </w:pPr>
      <w:r w:rsidRPr="008A50E0">
        <w:rPr>
          <w:b/>
          <w:iCs/>
          <w:lang w:eastAsia="en-US"/>
        </w:rPr>
        <w:t>Proposal 1-6: Regarding solutions for meeting SAR/MPE/APD requirements, P-MPR should be the baseline. For UE thermal management, P-MPR can also be considered.</w:t>
      </w:r>
    </w:p>
    <w:p w14:paraId="435D110B" w14:textId="6463B6E0" w:rsidR="002D3FD8" w:rsidRPr="008A50E0" w:rsidRDefault="002D3FD8" w:rsidP="00436DCE">
      <w:pPr>
        <w:ind w:leftChars="0" w:left="0"/>
        <w:jc w:val="both"/>
        <w:rPr>
          <w:iCs/>
        </w:rPr>
      </w:pPr>
      <w:r w:rsidRPr="001B7E39">
        <w:rPr>
          <w:b/>
          <w:bCs/>
          <w:u w:val="single"/>
        </w:rPr>
        <w:t>Issue 6: Configured maximum power equation parameters</w:t>
      </w:r>
    </w:p>
    <w:p w14:paraId="25F3A4B5" w14:textId="0B4DD409" w:rsidR="00356B0C" w:rsidRPr="008A50E0" w:rsidRDefault="00CF06D4" w:rsidP="00436DCE">
      <w:pPr>
        <w:spacing w:beforeLines="50" w:before="120"/>
        <w:ind w:leftChars="0" w:left="0"/>
        <w:jc w:val="both"/>
        <w:rPr>
          <w:b/>
          <w:bCs/>
        </w:rPr>
      </w:pPr>
      <w:r w:rsidRPr="008A50E0">
        <w:rPr>
          <w:b/>
          <w:bCs/>
          <w:szCs w:val="24"/>
        </w:rPr>
        <w:t>Proposal 1-7: The relaxation introduced by the parameters of</w:t>
      </w:r>
      <w:r w:rsidRPr="008A50E0">
        <w:rPr>
          <w:b/>
          <w:bCs/>
        </w:rPr>
        <w:t xml:space="preserve"> </w:t>
      </w:r>
      <w:r w:rsidRPr="008A50E0">
        <w:rPr>
          <w:b/>
          <w:bCs/>
          <w:szCs w:val="24"/>
        </w:rPr>
        <w:t>∆</w:t>
      </w:r>
      <w:proofErr w:type="spellStart"/>
      <w:proofErr w:type="gramStart"/>
      <w:r w:rsidRPr="008A50E0">
        <w:rPr>
          <w:b/>
          <w:bCs/>
          <w:szCs w:val="24"/>
        </w:rPr>
        <w:t>T</w:t>
      </w:r>
      <w:r w:rsidRPr="008A50E0">
        <w:rPr>
          <w:b/>
          <w:bCs/>
          <w:szCs w:val="24"/>
          <w:vertAlign w:val="subscript"/>
        </w:rPr>
        <w:t>C,c</w:t>
      </w:r>
      <w:proofErr w:type="spellEnd"/>
      <w:proofErr w:type="gramEnd"/>
      <w:r w:rsidRPr="008A50E0">
        <w:rPr>
          <w:b/>
          <w:bCs/>
          <w:szCs w:val="24"/>
        </w:rPr>
        <w:t>,</w:t>
      </w:r>
      <w:r w:rsidRPr="008A50E0">
        <w:rPr>
          <w:b/>
          <w:bCs/>
          <w:szCs w:val="24"/>
          <w:vertAlign w:val="subscript"/>
        </w:rPr>
        <w:t xml:space="preserve"> </w:t>
      </w:r>
      <w:r w:rsidRPr="008A50E0">
        <w:rPr>
          <w:b/>
          <w:bCs/>
          <w:szCs w:val="24"/>
        </w:rPr>
        <w:t>∆</w:t>
      </w:r>
      <w:proofErr w:type="spellStart"/>
      <w:r w:rsidRPr="008A50E0">
        <w:rPr>
          <w:b/>
          <w:bCs/>
          <w:szCs w:val="24"/>
        </w:rPr>
        <w:t>T</w:t>
      </w:r>
      <w:r w:rsidRPr="008A50E0">
        <w:rPr>
          <w:b/>
          <w:bCs/>
          <w:szCs w:val="24"/>
          <w:vertAlign w:val="subscript"/>
        </w:rPr>
        <w:t>RxSRS</w:t>
      </w:r>
      <w:proofErr w:type="spellEnd"/>
      <w:r w:rsidRPr="008A50E0">
        <w:rPr>
          <w:b/>
          <w:bCs/>
          <w:szCs w:val="24"/>
        </w:rPr>
        <w:t>, ∆T</w:t>
      </w:r>
      <w:r w:rsidRPr="008A50E0">
        <w:rPr>
          <w:b/>
          <w:bCs/>
          <w:szCs w:val="24"/>
          <w:vertAlign w:val="subscript"/>
        </w:rPr>
        <w:t xml:space="preserve">ib </w:t>
      </w:r>
      <w:r w:rsidRPr="008A50E0">
        <w:rPr>
          <w:b/>
          <w:bCs/>
          <w:szCs w:val="24"/>
        </w:rPr>
        <w:t>are still needed to accommodate practical implementation limitations. How to specify them can be further studied and improved.</w:t>
      </w:r>
    </w:p>
    <w:p w14:paraId="0F027731" w14:textId="77777777" w:rsidR="00356B0C" w:rsidRPr="008A50E0" w:rsidRDefault="00356B0C" w:rsidP="00436DCE">
      <w:pPr>
        <w:ind w:leftChars="0" w:left="0"/>
        <w:jc w:val="both"/>
        <w:rPr>
          <w:iCs/>
        </w:rPr>
      </w:pPr>
    </w:p>
    <w:p w14:paraId="6CA3588E" w14:textId="77777777" w:rsidR="00356B0C" w:rsidRPr="008A50E0" w:rsidRDefault="00CF06D4" w:rsidP="00436DCE">
      <w:pPr>
        <w:ind w:leftChars="0" w:left="0"/>
        <w:jc w:val="both"/>
        <w:rPr>
          <w:b/>
          <w:i/>
          <w:highlight w:val="lightGray"/>
          <w:u w:val="single"/>
        </w:rPr>
      </w:pPr>
      <w:r w:rsidRPr="008A50E0">
        <w:rPr>
          <w:b/>
          <w:i/>
          <w:highlight w:val="lightGray"/>
          <w:u w:val="single"/>
        </w:rPr>
        <w:t>CA output power</w:t>
      </w:r>
    </w:p>
    <w:p w14:paraId="518943E9" w14:textId="77777777" w:rsidR="00356B0C" w:rsidRPr="008A50E0" w:rsidRDefault="00CF06D4" w:rsidP="00436DCE">
      <w:pPr>
        <w:snapToGrid w:val="0"/>
        <w:ind w:leftChars="0" w:left="0"/>
        <w:jc w:val="both"/>
        <w:rPr>
          <w:b/>
          <w:i/>
        </w:rPr>
      </w:pPr>
      <w:r w:rsidRPr="008A50E0">
        <w:rPr>
          <w:b/>
          <w:bCs/>
          <w:i/>
        </w:rPr>
        <w:t>Observation 2-1:</w:t>
      </w:r>
      <w:r w:rsidRPr="008A50E0">
        <w:rPr>
          <w:b/>
          <w:bCs/>
        </w:rPr>
        <w:t xml:space="preserve"> </w:t>
      </w:r>
      <w:r w:rsidRPr="008A50E0">
        <w:rPr>
          <w:b/>
          <w:i/>
        </w:rPr>
        <w:t>The following use cases can be considered under this sub-topic:</w:t>
      </w:r>
    </w:p>
    <w:p w14:paraId="19FF1318" w14:textId="77777777" w:rsidR="00356B0C" w:rsidRPr="008A50E0" w:rsidRDefault="00CF06D4" w:rsidP="00436DCE">
      <w:pPr>
        <w:pStyle w:val="afff"/>
        <w:numPr>
          <w:ilvl w:val="0"/>
          <w:numId w:val="13"/>
        </w:numPr>
        <w:snapToGrid w:val="0"/>
        <w:ind w:leftChars="0" w:firstLineChars="0"/>
        <w:rPr>
          <w:rFonts w:ascii="Times New Roman" w:hAnsi="Times New Roman"/>
          <w:b/>
          <w:i/>
          <w:sz w:val="20"/>
          <w:szCs w:val="20"/>
          <w:lang w:val="en-US"/>
        </w:rPr>
      </w:pPr>
      <w:r w:rsidRPr="008A50E0">
        <w:rPr>
          <w:rFonts w:ascii="Times New Roman" w:hAnsi="Times New Roman"/>
          <w:b/>
          <w:i/>
          <w:sz w:val="20"/>
          <w:szCs w:val="20"/>
          <w:lang w:val="en-US"/>
        </w:rPr>
        <w:t>1: UE is configured with single-carrier UL and single-carrier DL on a band</w:t>
      </w:r>
    </w:p>
    <w:p w14:paraId="698C4433" w14:textId="77777777" w:rsidR="00356B0C" w:rsidRPr="008A50E0" w:rsidRDefault="00CF06D4" w:rsidP="00436DCE">
      <w:pPr>
        <w:pStyle w:val="afff"/>
        <w:numPr>
          <w:ilvl w:val="0"/>
          <w:numId w:val="13"/>
        </w:numPr>
        <w:snapToGrid w:val="0"/>
        <w:ind w:leftChars="0" w:firstLineChars="0"/>
        <w:rPr>
          <w:rFonts w:ascii="Times New Roman" w:hAnsi="Times New Roman"/>
          <w:b/>
          <w:i/>
          <w:sz w:val="20"/>
          <w:szCs w:val="20"/>
          <w:lang w:val="en-US"/>
        </w:rPr>
      </w:pPr>
      <w:r w:rsidRPr="008A50E0">
        <w:rPr>
          <w:rFonts w:ascii="Times New Roman" w:hAnsi="Times New Roman"/>
          <w:b/>
          <w:i/>
          <w:sz w:val="20"/>
          <w:szCs w:val="20"/>
          <w:lang w:val="en-US"/>
        </w:rPr>
        <w:t xml:space="preserve">2: UE is configured with DL CA (inter/intra/both) on ≥1 band(s) and </w:t>
      </w:r>
    </w:p>
    <w:p w14:paraId="4521597B" w14:textId="77777777" w:rsidR="00356B0C" w:rsidRPr="008A50E0" w:rsidRDefault="00CF06D4" w:rsidP="00436DCE">
      <w:pPr>
        <w:pStyle w:val="afff"/>
        <w:numPr>
          <w:ilvl w:val="1"/>
          <w:numId w:val="13"/>
        </w:numPr>
        <w:snapToGrid w:val="0"/>
        <w:ind w:leftChars="0" w:left="360" w:firstLineChars="0"/>
        <w:rPr>
          <w:rFonts w:ascii="Times New Roman" w:hAnsi="Times New Roman"/>
          <w:b/>
          <w:i/>
          <w:sz w:val="20"/>
          <w:szCs w:val="20"/>
          <w:lang w:val="en-US"/>
        </w:rPr>
      </w:pPr>
      <w:r w:rsidRPr="008A50E0">
        <w:rPr>
          <w:rFonts w:ascii="Times New Roman" w:hAnsi="Times New Roman"/>
          <w:b/>
          <w:i/>
          <w:sz w:val="20"/>
          <w:szCs w:val="20"/>
          <w:lang w:val="en-US"/>
        </w:rPr>
        <w:t>2a: configured with single-carrier UL on one band or</w:t>
      </w:r>
    </w:p>
    <w:p w14:paraId="2B728E50" w14:textId="77777777" w:rsidR="00356B0C" w:rsidRPr="008A50E0" w:rsidRDefault="00CF06D4" w:rsidP="00436DCE">
      <w:pPr>
        <w:pStyle w:val="afff"/>
        <w:numPr>
          <w:ilvl w:val="1"/>
          <w:numId w:val="13"/>
        </w:numPr>
        <w:snapToGrid w:val="0"/>
        <w:ind w:leftChars="0" w:left="360" w:firstLineChars="0"/>
        <w:rPr>
          <w:rFonts w:ascii="Times New Roman" w:hAnsi="Times New Roman"/>
          <w:b/>
          <w:lang w:val="en-US" w:eastAsia="en-US"/>
        </w:rPr>
      </w:pPr>
      <w:r w:rsidRPr="008A50E0">
        <w:rPr>
          <w:rFonts w:ascii="Times New Roman" w:hAnsi="Times New Roman"/>
          <w:b/>
          <w:i/>
          <w:sz w:val="20"/>
          <w:szCs w:val="20"/>
          <w:lang w:val="en-US"/>
        </w:rPr>
        <w:lastRenderedPageBreak/>
        <w:t>2b: configured with UL CA but only single-carrier activated or</w:t>
      </w:r>
    </w:p>
    <w:p w14:paraId="64CA699A" w14:textId="77777777" w:rsidR="00356B0C" w:rsidRPr="008A50E0" w:rsidRDefault="00CF06D4" w:rsidP="00436DCE">
      <w:pPr>
        <w:pStyle w:val="afff"/>
        <w:numPr>
          <w:ilvl w:val="1"/>
          <w:numId w:val="13"/>
        </w:numPr>
        <w:ind w:leftChars="0" w:left="360" w:firstLineChars="0"/>
        <w:rPr>
          <w:rFonts w:ascii="Times New Roman" w:hAnsi="Times New Roman"/>
          <w:b/>
          <w:lang w:val="en-US" w:eastAsia="en-US"/>
        </w:rPr>
      </w:pPr>
      <w:r w:rsidRPr="008A50E0">
        <w:rPr>
          <w:rFonts w:ascii="Times New Roman" w:hAnsi="Times New Roman"/>
          <w:b/>
          <w:i/>
          <w:sz w:val="20"/>
          <w:szCs w:val="20"/>
          <w:lang w:val="en-US"/>
        </w:rPr>
        <w:t>2c: configured with UL CA and all activated but only single-carrier scheduled</w:t>
      </w:r>
    </w:p>
    <w:p w14:paraId="44423148" w14:textId="77777777" w:rsidR="00356B0C" w:rsidRPr="008A50E0" w:rsidRDefault="00CF06D4" w:rsidP="00436DCE">
      <w:pPr>
        <w:ind w:leftChars="0" w:left="0"/>
        <w:jc w:val="both"/>
        <w:rPr>
          <w:b/>
          <w:i/>
          <w:lang w:eastAsia="en-US"/>
        </w:rPr>
      </w:pPr>
      <w:r w:rsidRPr="008A50E0">
        <w:rPr>
          <w:b/>
          <w:i/>
          <w:lang w:eastAsia="en-US"/>
        </w:rPr>
        <w:t xml:space="preserve">Proposal 2-1: For the case (#1) when the UE is configured with single-carrier UL and single-carrier DL on a band, further study how to efficiently support </w:t>
      </w:r>
      <w:proofErr w:type="spellStart"/>
      <w:r w:rsidRPr="008A50E0">
        <w:rPr>
          <w:b/>
          <w:i/>
          <w:lang w:eastAsia="en-US"/>
        </w:rPr>
        <w:t>TxD</w:t>
      </w:r>
      <w:proofErr w:type="spellEnd"/>
      <w:r w:rsidRPr="008A50E0">
        <w:rPr>
          <w:b/>
          <w:i/>
          <w:lang w:eastAsia="en-US"/>
        </w:rPr>
        <w:t xml:space="preserve"> and </w:t>
      </w:r>
      <w:proofErr w:type="spellStart"/>
      <w:r w:rsidRPr="008A50E0">
        <w:rPr>
          <w:b/>
          <w:i/>
          <w:lang w:eastAsia="en-US"/>
        </w:rPr>
        <w:t>ULFPTx</w:t>
      </w:r>
      <w:proofErr w:type="spellEnd"/>
      <w:r w:rsidRPr="008A50E0">
        <w:rPr>
          <w:b/>
          <w:i/>
          <w:lang w:eastAsia="en-US"/>
        </w:rPr>
        <w:t>, including UE RF requirements as well as capability signaling design, by considering but not limited to the underlying PA configuration as well as insertion loss difference between different Tx paths.</w:t>
      </w:r>
    </w:p>
    <w:p w14:paraId="3A69660E" w14:textId="77777777" w:rsidR="00356B0C" w:rsidRPr="008A50E0" w:rsidRDefault="00356B0C" w:rsidP="00436DCE">
      <w:pPr>
        <w:ind w:leftChars="0" w:left="0"/>
        <w:jc w:val="both"/>
        <w:rPr>
          <w:b/>
          <w:iCs/>
          <w:lang w:eastAsia="en-US"/>
        </w:rPr>
      </w:pPr>
    </w:p>
    <w:p w14:paraId="787D0B30" w14:textId="77777777" w:rsidR="00356B0C" w:rsidRPr="008A50E0" w:rsidRDefault="00CF06D4" w:rsidP="00436DCE">
      <w:pPr>
        <w:ind w:leftChars="0" w:left="0"/>
        <w:jc w:val="both"/>
        <w:rPr>
          <w:b/>
          <w:i/>
          <w:lang w:eastAsia="en-US"/>
        </w:rPr>
      </w:pPr>
      <w:r w:rsidRPr="008A50E0">
        <w:rPr>
          <w:b/>
          <w:i/>
          <w:lang w:eastAsia="en-US"/>
        </w:rPr>
        <w:t>Proposal 2-2: For the case (#2a) when the UE is configured with DL CA but single-carrier UL, the power class per band could be considered if there are no strong concerns from UE vendors.</w:t>
      </w:r>
    </w:p>
    <w:p w14:paraId="7023240D" w14:textId="77777777" w:rsidR="00356B0C" w:rsidRPr="008A50E0" w:rsidRDefault="00356B0C" w:rsidP="00436DCE">
      <w:pPr>
        <w:ind w:leftChars="0" w:left="0"/>
        <w:jc w:val="both"/>
        <w:rPr>
          <w:b/>
          <w:i/>
          <w:lang w:eastAsia="en-US"/>
        </w:rPr>
      </w:pPr>
    </w:p>
    <w:p w14:paraId="0F2AEB0E" w14:textId="77777777" w:rsidR="00356B0C" w:rsidRPr="008A50E0" w:rsidRDefault="00CF06D4" w:rsidP="00436DCE">
      <w:pPr>
        <w:ind w:leftChars="0" w:left="0"/>
        <w:jc w:val="both"/>
        <w:rPr>
          <w:b/>
          <w:i/>
          <w:lang w:eastAsia="en-US"/>
        </w:rPr>
      </w:pPr>
      <w:r w:rsidRPr="008A50E0">
        <w:rPr>
          <w:b/>
          <w:i/>
          <w:lang w:eastAsia="en-US"/>
        </w:rPr>
        <w:t>Proposal 2-3: For the case (#2b) when a UE is configured with UL CA but with only single-carrier activated, the UE might be able to support the same power class as case #2a. However, as another UL carrier could be activated by the network at any time, it’s very challenging for the UE to decide its transceiver configuration during this status.</w:t>
      </w:r>
    </w:p>
    <w:p w14:paraId="7C8833F3" w14:textId="77777777" w:rsidR="00356B0C" w:rsidRPr="008A50E0" w:rsidRDefault="00356B0C" w:rsidP="00436DCE">
      <w:pPr>
        <w:ind w:leftChars="0" w:left="0"/>
        <w:jc w:val="both"/>
        <w:rPr>
          <w:b/>
          <w:iCs/>
          <w:lang w:eastAsia="en-US"/>
        </w:rPr>
      </w:pPr>
    </w:p>
    <w:p w14:paraId="103DF681" w14:textId="77777777" w:rsidR="00356B0C" w:rsidRPr="008A50E0" w:rsidRDefault="00CF06D4" w:rsidP="00436DCE">
      <w:pPr>
        <w:ind w:leftChars="0" w:left="0"/>
        <w:jc w:val="both"/>
        <w:rPr>
          <w:b/>
          <w:i/>
          <w:lang w:eastAsia="en-US"/>
        </w:rPr>
      </w:pPr>
      <w:r w:rsidRPr="008A50E0">
        <w:rPr>
          <w:b/>
          <w:i/>
          <w:lang w:eastAsia="en-US"/>
        </w:rPr>
        <w:t xml:space="preserve">Proposal 2-4: For the case (#2c) when a UE is configured with UL CA, both activated but only single-carrier scheduled, the UE may be able to support a higher power class than that for two scheduled carriers, provided that the UE is capable of Tx switching (for intra-band or inter-band). The RF requirements (including power class, Tx switching time, DL interruption, etc.) as well as capability signaling should be considered within the generic Tx switching framework, which is FFS.    </w:t>
      </w:r>
    </w:p>
    <w:p w14:paraId="342664D7" w14:textId="77777777" w:rsidR="00356B0C" w:rsidRPr="008A50E0" w:rsidRDefault="00356B0C" w:rsidP="00436DCE">
      <w:pPr>
        <w:ind w:leftChars="0" w:left="0"/>
        <w:jc w:val="both"/>
        <w:rPr>
          <w:b/>
          <w:iCs/>
          <w:lang w:eastAsia="en-US"/>
        </w:rPr>
      </w:pPr>
    </w:p>
    <w:p w14:paraId="3FF76BDD" w14:textId="77777777" w:rsidR="00356B0C" w:rsidRPr="008A50E0" w:rsidRDefault="00CF06D4" w:rsidP="00436DCE">
      <w:pPr>
        <w:ind w:leftChars="0" w:left="0"/>
        <w:jc w:val="both"/>
        <w:rPr>
          <w:bCs/>
          <w:iCs/>
          <w:lang w:eastAsia="en-US"/>
        </w:rPr>
      </w:pPr>
      <w:r w:rsidRPr="008A50E0">
        <w:rPr>
          <w:b/>
          <w:bCs/>
          <w:i/>
          <w:lang w:eastAsia="en-US"/>
        </w:rPr>
        <w:t>Proposal 2-5: For inter-band UL CA, the power class per band per BC should be considered. For inter-band Tx switching, the applicable power class per band in a band pair should be further studied.</w:t>
      </w:r>
    </w:p>
    <w:p w14:paraId="11F1DC5F" w14:textId="77777777" w:rsidR="00356B0C" w:rsidRDefault="00356B0C" w:rsidP="00436DCE">
      <w:pPr>
        <w:ind w:leftChars="0" w:left="0"/>
        <w:jc w:val="both"/>
        <w:rPr>
          <w:b/>
          <w:iCs/>
          <w:lang w:eastAsia="en-US"/>
        </w:rPr>
      </w:pPr>
    </w:p>
    <w:p w14:paraId="069FEF3F" w14:textId="77777777" w:rsidR="00356B0C" w:rsidRDefault="00CF06D4">
      <w:pPr>
        <w:pStyle w:val="10"/>
        <w:numPr>
          <w:ilvl w:val="0"/>
          <w:numId w:val="0"/>
        </w:numPr>
        <w:rPr>
          <w:rFonts w:eastAsia="宋体"/>
        </w:rPr>
      </w:pPr>
      <w:r>
        <w:t>References</w:t>
      </w:r>
    </w:p>
    <w:p w14:paraId="40AA0958" w14:textId="77777777" w:rsidR="00356B0C" w:rsidRPr="008A50E0" w:rsidRDefault="00CF06D4" w:rsidP="00436DCE">
      <w:pPr>
        <w:ind w:leftChars="0" w:left="0"/>
        <w:jc w:val="both"/>
      </w:pPr>
      <w:r w:rsidRPr="008A50E0">
        <w:t>[1] R4-2522451, WF for [117][102] 6G general RF and UE RF, FL (Qualcomm), RAN4#117</w:t>
      </w:r>
    </w:p>
    <w:p w14:paraId="56355D6B" w14:textId="77777777" w:rsidR="00356B0C" w:rsidRPr="008A50E0" w:rsidRDefault="00CF06D4" w:rsidP="00436DCE">
      <w:pPr>
        <w:ind w:leftChars="0" w:left="0"/>
        <w:jc w:val="both"/>
        <w:rPr>
          <w:rFonts w:eastAsia="MS Mincho"/>
          <w:lang w:eastAsia="ja-JP"/>
        </w:rPr>
      </w:pPr>
      <w:r w:rsidRPr="008A50E0">
        <w:t>[2]</w:t>
      </w:r>
      <w:r w:rsidRPr="008A50E0">
        <w:tab/>
        <w:t>R4-2513305, Consideration on UE RF study for 6G, Huawei, HiSilicon, RAN4#116bis</w:t>
      </w:r>
    </w:p>
    <w:sectPr w:rsidR="00356B0C" w:rsidRPr="008A50E0">
      <w:footerReference w:type="default" r:id="rId8"/>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5CFAD" w14:textId="77777777" w:rsidR="00E60CE1" w:rsidRDefault="00E60CE1">
      <w:pPr>
        <w:spacing w:line="240" w:lineRule="auto"/>
        <w:ind w:left="420"/>
      </w:pPr>
      <w:r>
        <w:separator/>
      </w:r>
    </w:p>
  </w:endnote>
  <w:endnote w:type="continuationSeparator" w:id="0">
    <w:p w14:paraId="2F49B125" w14:textId="77777777" w:rsidR="00E60CE1" w:rsidRDefault="00E60CE1">
      <w:pPr>
        <w:spacing w:line="240" w:lineRule="auto"/>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楷体_GB2312">
    <w:charset w:val="86"/>
    <w:family w:val="modern"/>
    <w:pitch w:val="fixed"/>
    <w:sig w:usb0="00000000"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B9F6F" w14:textId="77777777" w:rsidR="00356B0C" w:rsidRDefault="00CF06D4">
    <w:pPr>
      <w:pStyle w:val="af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62B57" w14:textId="77777777" w:rsidR="00E60CE1" w:rsidRDefault="00E60CE1">
      <w:pPr>
        <w:ind w:left="420"/>
      </w:pPr>
      <w:r>
        <w:separator/>
      </w:r>
    </w:p>
  </w:footnote>
  <w:footnote w:type="continuationSeparator" w:id="0">
    <w:p w14:paraId="5394FAB1" w14:textId="77777777" w:rsidR="00E60CE1" w:rsidRDefault="00E60CE1">
      <w:pPr>
        <w:ind w:left="4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1010698F"/>
    <w:multiLevelType w:val="multilevel"/>
    <w:tmpl w:val="1010698F"/>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681"/>
        </w:tabs>
        <w:ind w:left="284" w:firstLine="0"/>
      </w:pPr>
      <w:rPr>
        <w:rFonts w:hint="eastAsia"/>
      </w:rPr>
    </w:lvl>
    <w:lvl w:ilvl="2">
      <w:start w:val="1"/>
      <w:numFmt w:val="decimal"/>
      <w:lvlText w:val="%1.%2.%3"/>
      <w:lvlJc w:val="left"/>
      <w:pPr>
        <w:tabs>
          <w:tab w:val="left" w:pos="680"/>
        </w:tabs>
        <w:ind w:left="510" w:hanging="510"/>
      </w:pPr>
      <w:rPr>
        <w:rFonts w:hint="eastAsia"/>
      </w:rPr>
    </w:lvl>
    <w:lvl w:ilvl="3">
      <w:start w:val="1"/>
      <w:numFmt w:val="decimal"/>
      <w:lvlText w:val="%1.%2.%3.%4"/>
      <w:lvlJc w:val="left"/>
      <w:pPr>
        <w:tabs>
          <w:tab w:val="left"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4"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2933445A"/>
    <w:multiLevelType w:val="multilevel"/>
    <w:tmpl w:val="2933445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8"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1"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2FE570A"/>
    <w:multiLevelType w:val="multilevel"/>
    <w:tmpl w:val="20ACE16E"/>
    <w:lvl w:ilvl="0">
      <w:start w:val="1"/>
      <w:numFmt w:val="decimal"/>
      <w:suff w:val="nothing"/>
      <w:lvlText w:val="%1  "/>
      <w:lvlJc w:val="left"/>
      <w:pPr>
        <w:ind w:left="720" w:firstLine="0"/>
      </w:pPr>
      <w:rPr>
        <w:rFonts w:ascii="Arial" w:eastAsia="黑体"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黑体"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黑体" w:hAnsi="Arial" w:hint="default"/>
        <w:b w:val="0"/>
        <w:i w:val="0"/>
        <w:sz w:val="18"/>
        <w:szCs w:val="18"/>
      </w:r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8"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numFmt w:val="bullet"/>
      <w:lvlText w:val="-"/>
      <w:lvlJc w:val="left"/>
      <w:pPr>
        <w:ind w:left="2868" w:hanging="360"/>
      </w:pPr>
      <w:rPr>
        <w:rFonts w:ascii="Arial" w:eastAsia="Malgun Gothic" w:hAnsi="Arial" w:cs="Aria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9" w15:restartNumberingAfterBreak="0">
    <w:nsid w:val="63546429"/>
    <w:multiLevelType w:val="multilevel"/>
    <w:tmpl w:val="FE4653A2"/>
    <w:lvl w:ilvl="0">
      <w:start w:val="1"/>
      <w:numFmt w:val="decimal"/>
      <w:pStyle w:val="10"/>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7CE21BD"/>
    <w:multiLevelType w:val="multilevel"/>
    <w:tmpl w:val="67CE21BD"/>
    <w:lvl w:ilvl="0">
      <w:start w:val="3"/>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1"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3"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3"/>
  </w:num>
  <w:num w:numId="2">
    <w:abstractNumId w:val="12"/>
  </w:num>
  <w:num w:numId="3">
    <w:abstractNumId w:val="14"/>
  </w:num>
  <w:num w:numId="4">
    <w:abstractNumId w:val="22"/>
  </w:num>
  <w:num w:numId="5">
    <w:abstractNumId w:val="21"/>
  </w:num>
  <w:num w:numId="6">
    <w:abstractNumId w:val="9"/>
  </w:num>
  <w:num w:numId="7">
    <w:abstractNumId w:val="15"/>
  </w:num>
  <w:num w:numId="8">
    <w:abstractNumId w:val="25"/>
  </w:num>
  <w:num w:numId="9">
    <w:abstractNumId w:val="6"/>
  </w:num>
  <w:num w:numId="10">
    <w:abstractNumId w:val="18"/>
  </w:num>
  <w:num w:numId="11">
    <w:abstractNumId w:val="20"/>
  </w:num>
  <w:num w:numId="12">
    <w:abstractNumId w:val="5"/>
  </w:num>
  <w:num w:numId="13">
    <w:abstractNumId w:val="2"/>
  </w:num>
  <w:num w:numId="14">
    <w:abstractNumId w:val="23"/>
  </w:num>
  <w:num w:numId="15">
    <w:abstractNumId w:val="13"/>
  </w:num>
  <w:num w:numId="16">
    <w:abstractNumId w:val="4"/>
  </w:num>
  <w:num w:numId="17">
    <w:abstractNumId w:val="10"/>
  </w:num>
  <w:num w:numId="18">
    <w:abstractNumId w:val="11"/>
  </w:num>
  <w:num w:numId="19">
    <w:abstractNumId w:val="0"/>
  </w:num>
  <w:num w:numId="20">
    <w:abstractNumId w:val="8"/>
  </w:num>
  <w:num w:numId="21">
    <w:abstractNumId w:val="16"/>
  </w:num>
  <w:num w:numId="22">
    <w:abstractNumId w:val="24"/>
  </w:num>
  <w:num w:numId="23">
    <w:abstractNumId w:val="1"/>
  </w:num>
  <w:num w:numId="24">
    <w:abstractNumId w:val="19"/>
  </w:num>
  <w:num w:numId="25">
    <w:abstractNumId w:val="7"/>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8FBFB125"/>
    <w:rsid w:val="99E7A37A"/>
    <w:rsid w:val="BBFBC508"/>
    <w:rsid w:val="BEF78376"/>
    <w:rsid w:val="DF3B0F49"/>
    <w:rsid w:val="E7EFDE89"/>
    <w:rsid w:val="EBA56AE1"/>
    <w:rsid w:val="EDFE0341"/>
    <w:rsid w:val="F08F23D8"/>
    <w:rsid w:val="F6EF154A"/>
    <w:rsid w:val="FB2FD652"/>
    <w:rsid w:val="FCFB55B4"/>
    <w:rsid w:val="FEFF8ECD"/>
    <w:rsid w:val="FF5D8F33"/>
    <w:rsid w:val="FFFC2BD9"/>
    <w:rsid w:val="00000594"/>
    <w:rsid w:val="000006F4"/>
    <w:rsid w:val="00002079"/>
    <w:rsid w:val="00002E68"/>
    <w:rsid w:val="000046FC"/>
    <w:rsid w:val="000052A1"/>
    <w:rsid w:val="000053CD"/>
    <w:rsid w:val="000059BB"/>
    <w:rsid w:val="000059D0"/>
    <w:rsid w:val="00005B0B"/>
    <w:rsid w:val="000063C5"/>
    <w:rsid w:val="0000649E"/>
    <w:rsid w:val="00006F04"/>
    <w:rsid w:val="00007DD9"/>
    <w:rsid w:val="0001141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5FAC"/>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35E8"/>
    <w:rsid w:val="000947DE"/>
    <w:rsid w:val="00094940"/>
    <w:rsid w:val="00094AE2"/>
    <w:rsid w:val="00094DD8"/>
    <w:rsid w:val="0009544E"/>
    <w:rsid w:val="0009612A"/>
    <w:rsid w:val="000967AD"/>
    <w:rsid w:val="000973F5"/>
    <w:rsid w:val="00097608"/>
    <w:rsid w:val="00097838"/>
    <w:rsid w:val="0009783A"/>
    <w:rsid w:val="00097C02"/>
    <w:rsid w:val="000A016B"/>
    <w:rsid w:val="000A0EC0"/>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1C61"/>
    <w:rsid w:val="000C28E8"/>
    <w:rsid w:val="000C2EF7"/>
    <w:rsid w:val="000C322C"/>
    <w:rsid w:val="000C3874"/>
    <w:rsid w:val="000C3D1C"/>
    <w:rsid w:val="000C4338"/>
    <w:rsid w:val="000C440D"/>
    <w:rsid w:val="000C458A"/>
    <w:rsid w:val="000C4B9A"/>
    <w:rsid w:val="000C4D56"/>
    <w:rsid w:val="000C5D17"/>
    <w:rsid w:val="000C5FCB"/>
    <w:rsid w:val="000C67EF"/>
    <w:rsid w:val="000C6B58"/>
    <w:rsid w:val="000C7058"/>
    <w:rsid w:val="000C7687"/>
    <w:rsid w:val="000C7887"/>
    <w:rsid w:val="000C7AAC"/>
    <w:rsid w:val="000C7C7C"/>
    <w:rsid w:val="000D02AA"/>
    <w:rsid w:val="000D0B01"/>
    <w:rsid w:val="000D0EEC"/>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0FE"/>
    <w:rsid w:val="000E3503"/>
    <w:rsid w:val="000E3995"/>
    <w:rsid w:val="000E3DDF"/>
    <w:rsid w:val="000E3E80"/>
    <w:rsid w:val="000E3FCD"/>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72C"/>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2FD8"/>
    <w:rsid w:val="00114108"/>
    <w:rsid w:val="001145CD"/>
    <w:rsid w:val="00114764"/>
    <w:rsid w:val="00115AEF"/>
    <w:rsid w:val="00116080"/>
    <w:rsid w:val="00116445"/>
    <w:rsid w:val="00116DF7"/>
    <w:rsid w:val="00117964"/>
    <w:rsid w:val="00120BBB"/>
    <w:rsid w:val="0012120A"/>
    <w:rsid w:val="00122C60"/>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31A"/>
    <w:rsid w:val="001409DE"/>
    <w:rsid w:val="00140CB7"/>
    <w:rsid w:val="00140F21"/>
    <w:rsid w:val="001420CF"/>
    <w:rsid w:val="0014221C"/>
    <w:rsid w:val="00142A41"/>
    <w:rsid w:val="00143488"/>
    <w:rsid w:val="00143522"/>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0E63"/>
    <w:rsid w:val="00161583"/>
    <w:rsid w:val="00162BF8"/>
    <w:rsid w:val="00162C66"/>
    <w:rsid w:val="001639F7"/>
    <w:rsid w:val="00163D7E"/>
    <w:rsid w:val="001645B2"/>
    <w:rsid w:val="00164D63"/>
    <w:rsid w:val="001657A1"/>
    <w:rsid w:val="00165CF7"/>
    <w:rsid w:val="001661C3"/>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1B97"/>
    <w:rsid w:val="001822D6"/>
    <w:rsid w:val="001824D1"/>
    <w:rsid w:val="00182D6C"/>
    <w:rsid w:val="0018314E"/>
    <w:rsid w:val="001838A1"/>
    <w:rsid w:val="00184134"/>
    <w:rsid w:val="001841B0"/>
    <w:rsid w:val="00185563"/>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645"/>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6F"/>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6D43"/>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1BC"/>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512"/>
    <w:rsid w:val="00232745"/>
    <w:rsid w:val="0023276E"/>
    <w:rsid w:val="00232806"/>
    <w:rsid w:val="00232C50"/>
    <w:rsid w:val="0023315F"/>
    <w:rsid w:val="002333B3"/>
    <w:rsid w:val="002343BB"/>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3E42"/>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CFE"/>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6D3"/>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38D"/>
    <w:rsid w:val="002A75E3"/>
    <w:rsid w:val="002A7870"/>
    <w:rsid w:val="002B1F8F"/>
    <w:rsid w:val="002B1FF1"/>
    <w:rsid w:val="002B1FF9"/>
    <w:rsid w:val="002B2455"/>
    <w:rsid w:val="002B2516"/>
    <w:rsid w:val="002B2E25"/>
    <w:rsid w:val="002B45AA"/>
    <w:rsid w:val="002B49F5"/>
    <w:rsid w:val="002B5B27"/>
    <w:rsid w:val="002B6135"/>
    <w:rsid w:val="002B6BCD"/>
    <w:rsid w:val="002B6C05"/>
    <w:rsid w:val="002B6DFD"/>
    <w:rsid w:val="002B6FAF"/>
    <w:rsid w:val="002B768E"/>
    <w:rsid w:val="002B7B57"/>
    <w:rsid w:val="002C01E3"/>
    <w:rsid w:val="002C0617"/>
    <w:rsid w:val="002C061F"/>
    <w:rsid w:val="002C0FBE"/>
    <w:rsid w:val="002C188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20"/>
    <w:rsid w:val="002D39A1"/>
    <w:rsid w:val="002D3FD8"/>
    <w:rsid w:val="002D414C"/>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3E0"/>
    <w:rsid w:val="002E3B62"/>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A48"/>
    <w:rsid w:val="002F6B99"/>
    <w:rsid w:val="002F6F3F"/>
    <w:rsid w:val="002F7041"/>
    <w:rsid w:val="002F7307"/>
    <w:rsid w:val="002F744E"/>
    <w:rsid w:val="002F78F6"/>
    <w:rsid w:val="002F7EF2"/>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37"/>
    <w:rsid w:val="00307DAC"/>
    <w:rsid w:val="0031068B"/>
    <w:rsid w:val="00310714"/>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8EC"/>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CC5"/>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0C"/>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0E41"/>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71D"/>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B30"/>
    <w:rsid w:val="003B2F85"/>
    <w:rsid w:val="003B2FD4"/>
    <w:rsid w:val="003B31C3"/>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0FAB"/>
    <w:rsid w:val="003C1802"/>
    <w:rsid w:val="003C1B28"/>
    <w:rsid w:val="003C208B"/>
    <w:rsid w:val="003C2545"/>
    <w:rsid w:val="003C2BAB"/>
    <w:rsid w:val="003C32CC"/>
    <w:rsid w:val="003C381B"/>
    <w:rsid w:val="003C3A38"/>
    <w:rsid w:val="003C4AE3"/>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AA4"/>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C24"/>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DCE"/>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860"/>
    <w:rsid w:val="004529B2"/>
    <w:rsid w:val="00452BB4"/>
    <w:rsid w:val="00452D22"/>
    <w:rsid w:val="00453086"/>
    <w:rsid w:val="004532D3"/>
    <w:rsid w:val="004549EC"/>
    <w:rsid w:val="00454D5C"/>
    <w:rsid w:val="004558AE"/>
    <w:rsid w:val="00455D28"/>
    <w:rsid w:val="00456877"/>
    <w:rsid w:val="00456DBA"/>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130"/>
    <w:rsid w:val="00464D77"/>
    <w:rsid w:val="0046566A"/>
    <w:rsid w:val="00465AE3"/>
    <w:rsid w:val="0046639A"/>
    <w:rsid w:val="00467BD5"/>
    <w:rsid w:val="00467BF3"/>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4BC"/>
    <w:rsid w:val="004819D9"/>
    <w:rsid w:val="00482DD9"/>
    <w:rsid w:val="004835A3"/>
    <w:rsid w:val="004837D1"/>
    <w:rsid w:val="00483943"/>
    <w:rsid w:val="004843F0"/>
    <w:rsid w:val="00485A2D"/>
    <w:rsid w:val="00485C7E"/>
    <w:rsid w:val="00485F39"/>
    <w:rsid w:val="004860C1"/>
    <w:rsid w:val="00486219"/>
    <w:rsid w:val="00486755"/>
    <w:rsid w:val="00486982"/>
    <w:rsid w:val="00487237"/>
    <w:rsid w:val="004879E3"/>
    <w:rsid w:val="00487D57"/>
    <w:rsid w:val="00490145"/>
    <w:rsid w:val="00490287"/>
    <w:rsid w:val="0049037B"/>
    <w:rsid w:val="00490FAB"/>
    <w:rsid w:val="0049171C"/>
    <w:rsid w:val="00491C2E"/>
    <w:rsid w:val="00491C84"/>
    <w:rsid w:val="0049215E"/>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11A"/>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159"/>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FC7"/>
    <w:rsid w:val="00506149"/>
    <w:rsid w:val="00506658"/>
    <w:rsid w:val="0050706F"/>
    <w:rsid w:val="005071D5"/>
    <w:rsid w:val="0051016B"/>
    <w:rsid w:val="00510B56"/>
    <w:rsid w:val="00511CD1"/>
    <w:rsid w:val="00512D6A"/>
    <w:rsid w:val="00513006"/>
    <w:rsid w:val="00513138"/>
    <w:rsid w:val="00513329"/>
    <w:rsid w:val="00513469"/>
    <w:rsid w:val="005135EA"/>
    <w:rsid w:val="0051390A"/>
    <w:rsid w:val="00513A45"/>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0826"/>
    <w:rsid w:val="00531682"/>
    <w:rsid w:val="005316A6"/>
    <w:rsid w:val="005316F1"/>
    <w:rsid w:val="00531A63"/>
    <w:rsid w:val="00531B61"/>
    <w:rsid w:val="005323A8"/>
    <w:rsid w:val="0053324E"/>
    <w:rsid w:val="00533275"/>
    <w:rsid w:val="005332D7"/>
    <w:rsid w:val="0053355C"/>
    <w:rsid w:val="005346E8"/>
    <w:rsid w:val="005349F5"/>
    <w:rsid w:val="00534C51"/>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7E8"/>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91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03"/>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03F"/>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25D"/>
    <w:rsid w:val="00591628"/>
    <w:rsid w:val="00591776"/>
    <w:rsid w:val="00592794"/>
    <w:rsid w:val="0059288B"/>
    <w:rsid w:val="005929A6"/>
    <w:rsid w:val="00592BDF"/>
    <w:rsid w:val="00594704"/>
    <w:rsid w:val="00595F91"/>
    <w:rsid w:val="00596ADF"/>
    <w:rsid w:val="00597401"/>
    <w:rsid w:val="005A09B5"/>
    <w:rsid w:val="005A0D29"/>
    <w:rsid w:val="005A0EB5"/>
    <w:rsid w:val="005A18EE"/>
    <w:rsid w:val="005A1B4F"/>
    <w:rsid w:val="005A1DE7"/>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37F2"/>
    <w:rsid w:val="005D4420"/>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A39"/>
    <w:rsid w:val="005E4EA1"/>
    <w:rsid w:val="005E54E7"/>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158"/>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285"/>
    <w:rsid w:val="00646925"/>
    <w:rsid w:val="00647397"/>
    <w:rsid w:val="006478F4"/>
    <w:rsid w:val="00647AF3"/>
    <w:rsid w:val="00647CAE"/>
    <w:rsid w:val="006500E4"/>
    <w:rsid w:val="00650700"/>
    <w:rsid w:val="00651140"/>
    <w:rsid w:val="00651465"/>
    <w:rsid w:val="00651DEC"/>
    <w:rsid w:val="006523CF"/>
    <w:rsid w:val="00652A0C"/>
    <w:rsid w:val="00653196"/>
    <w:rsid w:val="00653279"/>
    <w:rsid w:val="006535DD"/>
    <w:rsid w:val="006550A4"/>
    <w:rsid w:val="0065515B"/>
    <w:rsid w:val="006551B4"/>
    <w:rsid w:val="00655AA9"/>
    <w:rsid w:val="0065619E"/>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21A"/>
    <w:rsid w:val="00666869"/>
    <w:rsid w:val="00666A8C"/>
    <w:rsid w:val="00666F9C"/>
    <w:rsid w:val="00667547"/>
    <w:rsid w:val="006719B3"/>
    <w:rsid w:val="0067271D"/>
    <w:rsid w:val="00672918"/>
    <w:rsid w:val="00673291"/>
    <w:rsid w:val="006733C9"/>
    <w:rsid w:val="00673EF8"/>
    <w:rsid w:val="006740EF"/>
    <w:rsid w:val="00674A38"/>
    <w:rsid w:val="006754CA"/>
    <w:rsid w:val="006755C2"/>
    <w:rsid w:val="00675884"/>
    <w:rsid w:val="00675C27"/>
    <w:rsid w:val="00675F92"/>
    <w:rsid w:val="0067691F"/>
    <w:rsid w:val="006772B6"/>
    <w:rsid w:val="0067733A"/>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40"/>
    <w:rsid w:val="006A3874"/>
    <w:rsid w:val="006A395C"/>
    <w:rsid w:val="006A46A7"/>
    <w:rsid w:val="006A4A4E"/>
    <w:rsid w:val="006A5591"/>
    <w:rsid w:val="006A5825"/>
    <w:rsid w:val="006A5C86"/>
    <w:rsid w:val="006A60DA"/>
    <w:rsid w:val="006A6D6C"/>
    <w:rsid w:val="006A7836"/>
    <w:rsid w:val="006A79BA"/>
    <w:rsid w:val="006B0018"/>
    <w:rsid w:val="006B00B5"/>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535"/>
    <w:rsid w:val="006C13E4"/>
    <w:rsid w:val="006C146A"/>
    <w:rsid w:val="006C1704"/>
    <w:rsid w:val="006C251C"/>
    <w:rsid w:val="006C252A"/>
    <w:rsid w:val="006C2711"/>
    <w:rsid w:val="006C35EC"/>
    <w:rsid w:val="006C3804"/>
    <w:rsid w:val="006C3BAC"/>
    <w:rsid w:val="006C3E81"/>
    <w:rsid w:val="006C43FA"/>
    <w:rsid w:val="006C4547"/>
    <w:rsid w:val="006C5695"/>
    <w:rsid w:val="006C569D"/>
    <w:rsid w:val="006C5856"/>
    <w:rsid w:val="006C59F3"/>
    <w:rsid w:val="006C64E5"/>
    <w:rsid w:val="006C69F1"/>
    <w:rsid w:val="006C6E8D"/>
    <w:rsid w:val="006D07F7"/>
    <w:rsid w:val="006D0DAB"/>
    <w:rsid w:val="006D0F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676"/>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24CF"/>
    <w:rsid w:val="007131E3"/>
    <w:rsid w:val="0071337F"/>
    <w:rsid w:val="007133EC"/>
    <w:rsid w:val="00713A76"/>
    <w:rsid w:val="00713DBF"/>
    <w:rsid w:val="00713F0D"/>
    <w:rsid w:val="0071404D"/>
    <w:rsid w:val="007140E1"/>
    <w:rsid w:val="0071585A"/>
    <w:rsid w:val="00715F29"/>
    <w:rsid w:val="007160A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A5"/>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A23"/>
    <w:rsid w:val="0075063F"/>
    <w:rsid w:val="0075069C"/>
    <w:rsid w:val="007507DC"/>
    <w:rsid w:val="00750BE6"/>
    <w:rsid w:val="0075133B"/>
    <w:rsid w:val="007517D4"/>
    <w:rsid w:val="00751DBC"/>
    <w:rsid w:val="00751FEE"/>
    <w:rsid w:val="00752609"/>
    <w:rsid w:val="00752734"/>
    <w:rsid w:val="00752990"/>
    <w:rsid w:val="00752B7C"/>
    <w:rsid w:val="0075321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8C1"/>
    <w:rsid w:val="0077493F"/>
    <w:rsid w:val="00775C1B"/>
    <w:rsid w:val="0077600D"/>
    <w:rsid w:val="007762BA"/>
    <w:rsid w:val="007773C4"/>
    <w:rsid w:val="00780611"/>
    <w:rsid w:val="007810AF"/>
    <w:rsid w:val="00782F5D"/>
    <w:rsid w:val="007832CA"/>
    <w:rsid w:val="007848B7"/>
    <w:rsid w:val="007857D8"/>
    <w:rsid w:val="00786000"/>
    <w:rsid w:val="00786007"/>
    <w:rsid w:val="0078603F"/>
    <w:rsid w:val="007860C0"/>
    <w:rsid w:val="00786356"/>
    <w:rsid w:val="007864C8"/>
    <w:rsid w:val="00786531"/>
    <w:rsid w:val="00786FB4"/>
    <w:rsid w:val="007873DB"/>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1EB"/>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BFA"/>
    <w:rsid w:val="00830103"/>
    <w:rsid w:val="00830236"/>
    <w:rsid w:val="008304F9"/>
    <w:rsid w:val="00831007"/>
    <w:rsid w:val="0083115C"/>
    <w:rsid w:val="008314E4"/>
    <w:rsid w:val="00831670"/>
    <w:rsid w:val="00831A43"/>
    <w:rsid w:val="00831E21"/>
    <w:rsid w:val="00832360"/>
    <w:rsid w:val="00832BDE"/>
    <w:rsid w:val="00832ED2"/>
    <w:rsid w:val="008330F9"/>
    <w:rsid w:val="00833353"/>
    <w:rsid w:val="00833463"/>
    <w:rsid w:val="00833473"/>
    <w:rsid w:val="0083482A"/>
    <w:rsid w:val="00834AB9"/>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C45"/>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05B"/>
    <w:rsid w:val="00865E57"/>
    <w:rsid w:val="00865F3C"/>
    <w:rsid w:val="008666D1"/>
    <w:rsid w:val="008667B8"/>
    <w:rsid w:val="00867E17"/>
    <w:rsid w:val="00870A83"/>
    <w:rsid w:val="00871644"/>
    <w:rsid w:val="00872029"/>
    <w:rsid w:val="0087220C"/>
    <w:rsid w:val="00874211"/>
    <w:rsid w:val="0087482B"/>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0E0"/>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448"/>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248F"/>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404"/>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67"/>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2F1F"/>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1D5D"/>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DD6"/>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A7CC7"/>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3BB"/>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807"/>
    <w:rsid w:val="00A11A09"/>
    <w:rsid w:val="00A12079"/>
    <w:rsid w:val="00A128B8"/>
    <w:rsid w:val="00A12B48"/>
    <w:rsid w:val="00A12ED4"/>
    <w:rsid w:val="00A132D9"/>
    <w:rsid w:val="00A133C5"/>
    <w:rsid w:val="00A13434"/>
    <w:rsid w:val="00A1362E"/>
    <w:rsid w:val="00A145D7"/>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B5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0FFC"/>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AA"/>
    <w:rsid w:val="00A525F9"/>
    <w:rsid w:val="00A5274C"/>
    <w:rsid w:val="00A52C30"/>
    <w:rsid w:val="00A52EA5"/>
    <w:rsid w:val="00A53A07"/>
    <w:rsid w:val="00A53A63"/>
    <w:rsid w:val="00A554D0"/>
    <w:rsid w:val="00A55839"/>
    <w:rsid w:val="00A56490"/>
    <w:rsid w:val="00A56BD3"/>
    <w:rsid w:val="00A5719A"/>
    <w:rsid w:val="00A57F1A"/>
    <w:rsid w:val="00A603D6"/>
    <w:rsid w:val="00A60FBB"/>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91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77C4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5DF3"/>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8F9"/>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4573"/>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04C"/>
    <w:rsid w:val="00B006E0"/>
    <w:rsid w:val="00B01301"/>
    <w:rsid w:val="00B01914"/>
    <w:rsid w:val="00B01C71"/>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1B5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43A8"/>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9E7"/>
    <w:rsid w:val="00B65D41"/>
    <w:rsid w:val="00B65F77"/>
    <w:rsid w:val="00B660FB"/>
    <w:rsid w:val="00B6626B"/>
    <w:rsid w:val="00B663F5"/>
    <w:rsid w:val="00B666BC"/>
    <w:rsid w:val="00B67A98"/>
    <w:rsid w:val="00B71FFB"/>
    <w:rsid w:val="00B722FB"/>
    <w:rsid w:val="00B72507"/>
    <w:rsid w:val="00B727D3"/>
    <w:rsid w:val="00B72AA8"/>
    <w:rsid w:val="00B72D94"/>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B78"/>
    <w:rsid w:val="00B91DDC"/>
    <w:rsid w:val="00B924E1"/>
    <w:rsid w:val="00B925D4"/>
    <w:rsid w:val="00B927A3"/>
    <w:rsid w:val="00B92BBC"/>
    <w:rsid w:val="00B93642"/>
    <w:rsid w:val="00B93D50"/>
    <w:rsid w:val="00B94204"/>
    <w:rsid w:val="00B9429D"/>
    <w:rsid w:val="00B94583"/>
    <w:rsid w:val="00B94917"/>
    <w:rsid w:val="00B958D8"/>
    <w:rsid w:val="00B95E0B"/>
    <w:rsid w:val="00B9629D"/>
    <w:rsid w:val="00B973B5"/>
    <w:rsid w:val="00B97422"/>
    <w:rsid w:val="00B97592"/>
    <w:rsid w:val="00BA105E"/>
    <w:rsid w:val="00BA23E7"/>
    <w:rsid w:val="00BA27FC"/>
    <w:rsid w:val="00BA2BC5"/>
    <w:rsid w:val="00BA2F0C"/>
    <w:rsid w:val="00BA2F38"/>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4EC8"/>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2A2"/>
    <w:rsid w:val="00BC73D4"/>
    <w:rsid w:val="00BC763C"/>
    <w:rsid w:val="00BC7B0E"/>
    <w:rsid w:val="00BD0782"/>
    <w:rsid w:val="00BD0DD5"/>
    <w:rsid w:val="00BD10F6"/>
    <w:rsid w:val="00BD1745"/>
    <w:rsid w:val="00BD1FC7"/>
    <w:rsid w:val="00BD2087"/>
    <w:rsid w:val="00BD21E2"/>
    <w:rsid w:val="00BD2345"/>
    <w:rsid w:val="00BD293D"/>
    <w:rsid w:val="00BD3AF3"/>
    <w:rsid w:val="00BD3B8E"/>
    <w:rsid w:val="00BD3C17"/>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111"/>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E2"/>
    <w:rsid w:val="00C04B37"/>
    <w:rsid w:val="00C052D0"/>
    <w:rsid w:val="00C058F0"/>
    <w:rsid w:val="00C05B24"/>
    <w:rsid w:val="00C05F0D"/>
    <w:rsid w:val="00C06940"/>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8BF"/>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1B5"/>
    <w:rsid w:val="00C358D9"/>
    <w:rsid w:val="00C35942"/>
    <w:rsid w:val="00C35AC5"/>
    <w:rsid w:val="00C36E28"/>
    <w:rsid w:val="00C379A7"/>
    <w:rsid w:val="00C37F40"/>
    <w:rsid w:val="00C40CE0"/>
    <w:rsid w:val="00C418EF"/>
    <w:rsid w:val="00C41D95"/>
    <w:rsid w:val="00C42124"/>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4A5"/>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ABD"/>
    <w:rsid w:val="00CE1B85"/>
    <w:rsid w:val="00CE23CA"/>
    <w:rsid w:val="00CE2A15"/>
    <w:rsid w:val="00CE3F1A"/>
    <w:rsid w:val="00CE449C"/>
    <w:rsid w:val="00CE4D8A"/>
    <w:rsid w:val="00CE52A0"/>
    <w:rsid w:val="00CE5F3A"/>
    <w:rsid w:val="00CE66DC"/>
    <w:rsid w:val="00CE6D23"/>
    <w:rsid w:val="00CE72B9"/>
    <w:rsid w:val="00CE752E"/>
    <w:rsid w:val="00CE7BE0"/>
    <w:rsid w:val="00CF06D4"/>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F10"/>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2BE"/>
    <w:rsid w:val="00D26A8F"/>
    <w:rsid w:val="00D26E94"/>
    <w:rsid w:val="00D27340"/>
    <w:rsid w:val="00D27426"/>
    <w:rsid w:val="00D2791F"/>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02B0"/>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D09"/>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066"/>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8BD"/>
    <w:rsid w:val="00DD4D95"/>
    <w:rsid w:val="00DD4F6D"/>
    <w:rsid w:val="00DD5371"/>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0D7"/>
    <w:rsid w:val="00DE445D"/>
    <w:rsid w:val="00DE453A"/>
    <w:rsid w:val="00DE4B21"/>
    <w:rsid w:val="00DE4CFF"/>
    <w:rsid w:val="00DE50E2"/>
    <w:rsid w:val="00DE581C"/>
    <w:rsid w:val="00DE6FAD"/>
    <w:rsid w:val="00DE745F"/>
    <w:rsid w:val="00DE79AB"/>
    <w:rsid w:val="00DF0574"/>
    <w:rsid w:val="00DF05B1"/>
    <w:rsid w:val="00DF05DC"/>
    <w:rsid w:val="00DF06C8"/>
    <w:rsid w:val="00DF06FE"/>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1B02"/>
    <w:rsid w:val="00E12243"/>
    <w:rsid w:val="00E1246D"/>
    <w:rsid w:val="00E128A8"/>
    <w:rsid w:val="00E13657"/>
    <w:rsid w:val="00E147B3"/>
    <w:rsid w:val="00E14AD6"/>
    <w:rsid w:val="00E14BE8"/>
    <w:rsid w:val="00E165AB"/>
    <w:rsid w:val="00E17333"/>
    <w:rsid w:val="00E176A4"/>
    <w:rsid w:val="00E17A5D"/>
    <w:rsid w:val="00E17EAD"/>
    <w:rsid w:val="00E17F3C"/>
    <w:rsid w:val="00E211CF"/>
    <w:rsid w:val="00E228AA"/>
    <w:rsid w:val="00E22AC6"/>
    <w:rsid w:val="00E22D0A"/>
    <w:rsid w:val="00E23338"/>
    <w:rsid w:val="00E2387D"/>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0AE6"/>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0CE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1EF1"/>
    <w:rsid w:val="00E922E4"/>
    <w:rsid w:val="00E92A69"/>
    <w:rsid w:val="00E9301B"/>
    <w:rsid w:val="00E93CB0"/>
    <w:rsid w:val="00E93D47"/>
    <w:rsid w:val="00E94169"/>
    <w:rsid w:val="00E94628"/>
    <w:rsid w:val="00E94C39"/>
    <w:rsid w:val="00E95127"/>
    <w:rsid w:val="00E95305"/>
    <w:rsid w:val="00E958AA"/>
    <w:rsid w:val="00E9744E"/>
    <w:rsid w:val="00E974FC"/>
    <w:rsid w:val="00EA0ACF"/>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371"/>
    <w:rsid w:val="00EC363B"/>
    <w:rsid w:val="00EC36A4"/>
    <w:rsid w:val="00EC3F40"/>
    <w:rsid w:val="00EC3FEB"/>
    <w:rsid w:val="00EC4171"/>
    <w:rsid w:val="00EC444E"/>
    <w:rsid w:val="00EC488F"/>
    <w:rsid w:val="00ED0769"/>
    <w:rsid w:val="00ED0C54"/>
    <w:rsid w:val="00ED0DDB"/>
    <w:rsid w:val="00ED0F24"/>
    <w:rsid w:val="00ED1544"/>
    <w:rsid w:val="00ED171C"/>
    <w:rsid w:val="00ED1795"/>
    <w:rsid w:val="00ED1B93"/>
    <w:rsid w:val="00ED2392"/>
    <w:rsid w:val="00ED2D05"/>
    <w:rsid w:val="00ED2D48"/>
    <w:rsid w:val="00ED2E0E"/>
    <w:rsid w:val="00ED3063"/>
    <w:rsid w:val="00ED3776"/>
    <w:rsid w:val="00ED3AA5"/>
    <w:rsid w:val="00ED3CA3"/>
    <w:rsid w:val="00ED420A"/>
    <w:rsid w:val="00ED5CC0"/>
    <w:rsid w:val="00ED5D50"/>
    <w:rsid w:val="00ED6BC8"/>
    <w:rsid w:val="00ED707F"/>
    <w:rsid w:val="00ED791D"/>
    <w:rsid w:val="00ED7AC1"/>
    <w:rsid w:val="00ED7D26"/>
    <w:rsid w:val="00ED7DD4"/>
    <w:rsid w:val="00EE08C0"/>
    <w:rsid w:val="00EE1136"/>
    <w:rsid w:val="00EE1574"/>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87F"/>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5AC"/>
    <w:rsid w:val="00F13D21"/>
    <w:rsid w:val="00F14203"/>
    <w:rsid w:val="00F1423B"/>
    <w:rsid w:val="00F1464F"/>
    <w:rsid w:val="00F14F56"/>
    <w:rsid w:val="00F15916"/>
    <w:rsid w:val="00F15ED9"/>
    <w:rsid w:val="00F16F95"/>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95A"/>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1C1"/>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F6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5E5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52B"/>
    <w:rsid w:val="00FC465B"/>
    <w:rsid w:val="00FC46F7"/>
    <w:rsid w:val="00FC4A63"/>
    <w:rsid w:val="00FC4C42"/>
    <w:rsid w:val="00FC5727"/>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8AF"/>
    <w:rsid w:val="00FD5E24"/>
    <w:rsid w:val="00FD6212"/>
    <w:rsid w:val="00FD63E8"/>
    <w:rsid w:val="00FD63F9"/>
    <w:rsid w:val="00FD65C6"/>
    <w:rsid w:val="00FD69E7"/>
    <w:rsid w:val="00FD760B"/>
    <w:rsid w:val="00FE22EE"/>
    <w:rsid w:val="00FE25A2"/>
    <w:rsid w:val="00FE3B7A"/>
    <w:rsid w:val="00FE3F17"/>
    <w:rsid w:val="00FE422E"/>
    <w:rsid w:val="00FE44B7"/>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 w:val="3FF5B92E"/>
    <w:rsid w:val="3FFF3D5B"/>
    <w:rsid w:val="4EEB7651"/>
    <w:rsid w:val="4FFB5D9C"/>
    <w:rsid w:val="57E985E3"/>
    <w:rsid w:val="5F59FF07"/>
    <w:rsid w:val="6FF6A051"/>
    <w:rsid w:val="6FFF93DD"/>
    <w:rsid w:val="774F80A8"/>
    <w:rsid w:val="777729BB"/>
    <w:rsid w:val="777D95BE"/>
    <w:rsid w:val="7F77D9F5"/>
    <w:rsid w:val="7FCDE118"/>
    <w:rsid w:val="7FEF8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949DA7"/>
  <w15:docId w15:val="{D9729D37-9919-40C7-B00A-8BC3CC130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semiHidden="1"/>
    <w:lsdException w:name="index heading" w:semiHidden="1" w:qFormat="1"/>
    <w:lsdException w:name="caption" w:uiPriority="35" w:qFormat="1"/>
    <w:lsdException w:name="table of figures" w:semiHidden="1"/>
    <w:lsdException w:name="footnote reference" w:semiHidden="1"/>
    <w:lsdException w:name="annotation reference" w:semiHidden="1"/>
    <w:lsdException w:name="page number" w:qFormat="1"/>
    <w:lsdException w:name="List" w:qFormat="1"/>
    <w:lsdException w:name="List Number 2" w:qFormat="1"/>
    <w:lsdException w:name="List Number 5" w:qFormat="1"/>
    <w:lsdException w:name="Title" w:qFormat="1"/>
    <w:lsdException w:name="Default Paragraph Font" w:semiHidden="1" w:uiPriority="1" w:unhideWhenUsed="1"/>
    <w:lsdException w:name="Subtitle" w:qFormat="1"/>
    <w:lsdException w:name="Body Text Indent 3" w:semiHidden="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36DCE"/>
    <w:pPr>
      <w:widowControl w:val="0"/>
      <w:autoSpaceDE w:val="0"/>
      <w:autoSpaceDN w:val="0"/>
      <w:adjustRightInd w:val="0"/>
      <w:spacing w:line="360" w:lineRule="auto"/>
      <w:ind w:leftChars="200" w:left="200"/>
    </w:pPr>
    <w:rPr>
      <w:rFonts w:eastAsia="Times New Roman"/>
      <w:sz w:val="21"/>
      <w:szCs w:val="21"/>
    </w:rPr>
  </w:style>
  <w:style w:type="paragraph" w:styleId="10">
    <w:name w:val="heading 1"/>
    <w:next w:val="2"/>
    <w:link w:val="11"/>
    <w:qFormat/>
    <w:rsid w:val="00436DCE"/>
    <w:pPr>
      <w:keepNext/>
      <w:numPr>
        <w:numId w:val="24"/>
      </w:numPr>
      <w:spacing w:before="240" w:after="240"/>
      <w:ind w:left="431" w:hanging="431"/>
      <w:jc w:val="both"/>
      <w:outlineLvl w:val="0"/>
    </w:pPr>
    <w:rPr>
      <w:rFonts w:ascii="Arial" w:eastAsia="黑体" w:hAnsi="Arial"/>
      <w:b/>
      <w:sz w:val="32"/>
      <w:szCs w:val="32"/>
    </w:rPr>
  </w:style>
  <w:style w:type="paragraph" w:styleId="2">
    <w:name w:val="heading 2"/>
    <w:next w:val="a1"/>
    <w:link w:val="20"/>
    <w:qFormat/>
    <w:rsid w:val="00436DCE"/>
    <w:pPr>
      <w:keepNext/>
      <w:numPr>
        <w:ilvl w:val="1"/>
        <w:numId w:val="24"/>
      </w:numPr>
      <w:spacing w:before="240" w:after="240"/>
      <w:jc w:val="both"/>
      <w:outlineLvl w:val="1"/>
    </w:pPr>
    <w:rPr>
      <w:rFonts w:ascii="Arial" w:eastAsia="黑体" w:hAnsi="Arial"/>
      <w:sz w:val="24"/>
      <w:szCs w:val="24"/>
    </w:rPr>
  </w:style>
  <w:style w:type="paragraph" w:styleId="3">
    <w:name w:val="heading 3"/>
    <w:basedOn w:val="a1"/>
    <w:next w:val="a1"/>
    <w:link w:val="30"/>
    <w:qFormat/>
    <w:rsid w:val="00436DCE"/>
    <w:pPr>
      <w:keepNext/>
      <w:keepLines/>
      <w:numPr>
        <w:ilvl w:val="2"/>
        <w:numId w:val="24"/>
      </w:numPr>
      <w:autoSpaceDE/>
      <w:autoSpaceDN/>
      <w:adjustRightInd/>
      <w:spacing w:before="260" w:after="260" w:line="416" w:lineRule="auto"/>
      <w:jc w:val="both"/>
      <w:outlineLvl w:val="2"/>
    </w:pPr>
    <w:rPr>
      <w:rFonts w:ascii="Arial" w:eastAsia="Arial" w:hAnsi="Arial"/>
      <w:bCs/>
      <w:kern w:val="2"/>
      <w:sz w:val="24"/>
      <w:szCs w:val="24"/>
    </w:rPr>
  </w:style>
  <w:style w:type="paragraph" w:styleId="4">
    <w:name w:val="heading 4"/>
    <w:basedOn w:val="3"/>
    <w:next w:val="a1"/>
    <w:link w:val="40"/>
    <w:qFormat/>
    <w:pPr>
      <w:numPr>
        <w:ilvl w:val="0"/>
        <w:numId w:val="0"/>
      </w:numPr>
      <w:tabs>
        <w:tab w:val="num" w:pos="567"/>
      </w:tabs>
      <w:ind w:leftChars="200" w:left="936" w:hanging="680"/>
      <w:outlineLvl w:val="3"/>
    </w:pPr>
  </w:style>
  <w:style w:type="paragraph" w:styleId="5">
    <w:name w:val="heading 5"/>
    <w:basedOn w:val="4"/>
    <w:next w:val="a1"/>
    <w:link w:val="50"/>
    <w:qFormat/>
    <w:pPr>
      <w:tabs>
        <w:tab w:val="clear" w:pos="567"/>
      </w:tabs>
      <w:ind w:leftChars="0" w:left="0" w:firstLine="0"/>
      <w:outlineLvl w:val="4"/>
    </w:pPr>
    <w:rPr>
      <w:sz w:val="22"/>
    </w:rPr>
  </w:style>
  <w:style w:type="paragraph" w:styleId="6">
    <w:name w:val="heading 6"/>
    <w:basedOn w:val="H6"/>
    <w:next w:val="a1"/>
    <w:link w:val="60"/>
    <w:qFormat/>
    <w:pPr>
      <w:numPr>
        <w:ilvl w:val="4"/>
        <w:numId w:val="1"/>
      </w:numPr>
      <w:outlineLvl w:val="5"/>
    </w:pPr>
  </w:style>
  <w:style w:type="paragraph" w:styleId="7">
    <w:name w:val="heading 7"/>
    <w:basedOn w:val="H6"/>
    <w:next w:val="a1"/>
    <w:qFormat/>
    <w:pPr>
      <w:tabs>
        <w:tab w:val="left" w:pos="1499"/>
      </w:tabs>
      <w:outlineLvl w:val="6"/>
    </w:pPr>
  </w:style>
  <w:style w:type="paragraph" w:styleId="8">
    <w:name w:val="heading 8"/>
    <w:basedOn w:val="10"/>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436DC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36DCE"/>
  </w:style>
  <w:style w:type="paragraph" w:customStyle="1" w:styleId="H6">
    <w:name w:val="H6"/>
    <w:basedOn w:val="5"/>
    <w:next w:val="a1"/>
    <w:link w:val="H6Char"/>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qFormat/>
    <w:pPr>
      <w:ind w:left="568" w:hanging="284"/>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spacing w:before="0"/>
      <w:ind w:left="851" w:hanging="851"/>
    </w:pPr>
    <w:rPr>
      <w:sz w:val="20"/>
    </w:rPr>
  </w:style>
  <w:style w:type="paragraph" w:styleId="TOC1">
    <w:name w:val="toc 1"/>
    <w:next w:val="a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qFormat/>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Normal Indent"/>
    <w:basedOn w:val="a1"/>
    <w:qFormat/>
    <w:pPr>
      <w:ind w:left="851"/>
    </w:pPr>
    <w:rPr>
      <w:rFonts w:eastAsia="MS Mincho"/>
      <w:lang w:val="it-IT" w:eastAsia="en-GB"/>
    </w:rPr>
  </w:style>
  <w:style w:type="paragraph" w:styleId="a9">
    <w:name w:val="caption"/>
    <w:basedOn w:val="a1"/>
    <w:next w:val="a1"/>
    <w:link w:val="aa"/>
    <w:uiPriority w:val="35"/>
    <w:qFormat/>
    <w:pPr>
      <w:spacing w:before="120" w:after="120"/>
    </w:pPr>
    <w:rPr>
      <w:b/>
    </w:rPr>
  </w:style>
  <w:style w:type="paragraph" w:styleId="ab">
    <w:name w:val="Document Map"/>
    <w:basedOn w:val="a1"/>
    <w:link w:val="ac"/>
    <w:semiHidden/>
    <w:pPr>
      <w:shd w:val="clear" w:color="auto" w:fill="000080"/>
    </w:pPr>
    <w:rPr>
      <w:rFonts w:ascii="Tahoma" w:hAnsi="Tahoma"/>
    </w:rPr>
  </w:style>
  <w:style w:type="paragraph" w:styleId="ad">
    <w:name w:val="annotation text"/>
    <w:basedOn w:val="a1"/>
    <w:link w:val="ae"/>
    <w:semiHidden/>
    <w:pPr>
      <w:spacing w:line="360" w:lineRule="atLeast"/>
    </w:pPr>
    <w:rPr>
      <w:rFonts w:ascii="–¾’©" w:eastAsia="–¾’©"/>
      <w:sz w:val="24"/>
      <w:lang w:eastAsia="en-US"/>
    </w:rPr>
  </w:style>
  <w:style w:type="paragraph" w:styleId="33">
    <w:name w:val="Body Text 3"/>
    <w:basedOn w:val="a1"/>
    <w:pPr>
      <w:keepNext/>
      <w:keepLines/>
    </w:pPr>
    <w:rPr>
      <w:rFonts w:eastAsia="Osaka"/>
      <w:color w:val="000000"/>
    </w:rPr>
  </w:style>
  <w:style w:type="paragraph" w:styleId="af">
    <w:name w:val="Body Text"/>
    <w:basedOn w:val="a1"/>
    <w:link w:val="af0"/>
  </w:style>
  <w:style w:type="paragraph" w:styleId="af1">
    <w:name w:val="Body Text Indent"/>
    <w:basedOn w:val="a1"/>
    <w:pPr>
      <w:ind w:left="210"/>
      <w:jc w:val="both"/>
    </w:pPr>
    <w:rPr>
      <w:snapToGrid w:val="0"/>
      <w:kern w:val="2"/>
      <w:lang w:eastAsia="en-US"/>
    </w:rPr>
  </w:style>
  <w:style w:type="paragraph" w:styleId="34">
    <w:name w:val="List Number 3"/>
    <w:basedOn w:val="a1"/>
    <w:pPr>
      <w:tabs>
        <w:tab w:val="left" w:pos="720"/>
        <w:tab w:val="left" w:pos="926"/>
      </w:tabs>
      <w:ind w:left="926" w:hanging="360"/>
    </w:pPr>
    <w:rPr>
      <w:rFonts w:eastAsia="MS Mincho"/>
      <w:lang w:eastAsia="en-GB"/>
    </w:rPr>
  </w:style>
  <w:style w:type="paragraph" w:styleId="af2">
    <w:name w:val="Plain Text"/>
    <w:basedOn w:val="a1"/>
    <w:link w:val="af3"/>
    <w:rPr>
      <w:rFonts w:ascii="Courier New" w:hAnsi="Courier New"/>
      <w:lang w:val="nb-NO"/>
    </w:rPr>
  </w:style>
  <w:style w:type="paragraph" w:styleId="51">
    <w:name w:val="List Bullet 5"/>
    <w:basedOn w:val="41"/>
    <w:pPr>
      <w:ind w:left="1702"/>
    </w:pPr>
  </w:style>
  <w:style w:type="paragraph" w:styleId="42">
    <w:name w:val="List Number 4"/>
    <w:basedOn w:val="a1"/>
    <w:pPr>
      <w:tabs>
        <w:tab w:val="left" w:pos="720"/>
        <w:tab w:val="left" w:pos="1209"/>
      </w:tabs>
      <w:ind w:left="1209" w:hanging="360"/>
    </w:pPr>
    <w:rPr>
      <w:rFonts w:eastAsia="MS Mincho"/>
      <w:lang w:eastAsia="en-GB"/>
    </w:rPr>
  </w:style>
  <w:style w:type="paragraph" w:styleId="TOC8">
    <w:name w:val="toc 8"/>
    <w:basedOn w:val="TOC1"/>
    <w:next w:val="a1"/>
    <w:semiHidden/>
    <w:pPr>
      <w:spacing w:before="180"/>
      <w:ind w:left="2693" w:hanging="2693"/>
    </w:pPr>
    <w:rPr>
      <w:b/>
    </w:rPr>
  </w:style>
  <w:style w:type="paragraph" w:styleId="af4">
    <w:name w:val="Date"/>
    <w:basedOn w:val="a1"/>
    <w:next w:val="a1"/>
    <w:link w:val="af5"/>
    <w:pPr>
      <w:ind w:leftChars="2500" w:left="100"/>
    </w:pPr>
  </w:style>
  <w:style w:type="paragraph" w:styleId="24">
    <w:name w:val="Body Text Indent 2"/>
    <w:basedOn w:val="a1"/>
    <w:link w:val="25"/>
    <w:pPr>
      <w:ind w:leftChars="100" w:left="400" w:hangingChars="100" w:hanging="200"/>
    </w:pPr>
    <w:rPr>
      <w:rFonts w:eastAsia="MS Mincho"/>
      <w:lang w:eastAsia="en-GB"/>
    </w:rPr>
  </w:style>
  <w:style w:type="paragraph" w:styleId="af6">
    <w:name w:val="endnote text"/>
    <w:basedOn w:val="a1"/>
    <w:link w:val="af7"/>
    <w:pPr>
      <w:snapToGrid w:val="0"/>
    </w:pPr>
  </w:style>
  <w:style w:type="paragraph" w:styleId="af8">
    <w:name w:val="Balloon Text"/>
    <w:basedOn w:val="a1"/>
    <w:link w:val="af9"/>
    <w:rsid w:val="00436DCE"/>
    <w:pPr>
      <w:spacing w:line="240" w:lineRule="auto"/>
    </w:pPr>
    <w:rPr>
      <w:sz w:val="18"/>
      <w:szCs w:val="18"/>
    </w:rPr>
  </w:style>
  <w:style w:type="paragraph" w:styleId="afa">
    <w:name w:val="footer"/>
    <w:rsid w:val="00436DCE"/>
    <w:pPr>
      <w:tabs>
        <w:tab w:val="center" w:pos="4510"/>
        <w:tab w:val="right" w:pos="9020"/>
      </w:tabs>
    </w:pPr>
    <w:rPr>
      <w:rFonts w:ascii="Arial" w:eastAsia="宋体" w:hAnsi="Arial"/>
      <w:sz w:val="18"/>
      <w:szCs w:val="18"/>
    </w:rPr>
  </w:style>
  <w:style w:type="paragraph" w:styleId="afb">
    <w:name w:val="header"/>
    <w:link w:val="afc"/>
    <w:rsid w:val="00436DCE"/>
    <w:pPr>
      <w:tabs>
        <w:tab w:val="center" w:pos="4153"/>
        <w:tab w:val="right" w:pos="8306"/>
      </w:tabs>
      <w:snapToGrid w:val="0"/>
      <w:jc w:val="both"/>
    </w:pPr>
    <w:rPr>
      <w:rFonts w:ascii="Arial" w:eastAsia="宋体" w:hAnsi="Arial"/>
      <w:sz w:val="18"/>
      <w:szCs w:val="18"/>
    </w:rPr>
  </w:style>
  <w:style w:type="paragraph" w:styleId="afd">
    <w:name w:val="index heading"/>
    <w:basedOn w:val="a1"/>
    <w:next w:val="a1"/>
    <w:semiHidden/>
    <w:qFormat/>
    <w:pPr>
      <w:pBdr>
        <w:top w:val="single" w:sz="12" w:space="0" w:color="auto"/>
      </w:pBdr>
      <w:spacing w:before="360" w:after="240"/>
    </w:pPr>
    <w:rPr>
      <w:b/>
      <w:i/>
      <w:sz w:val="26"/>
    </w:rPr>
  </w:style>
  <w:style w:type="paragraph" w:styleId="52">
    <w:name w:val="List Number 5"/>
    <w:basedOn w:val="a1"/>
    <w:qFormat/>
    <w:pPr>
      <w:tabs>
        <w:tab w:val="left" w:pos="851"/>
        <w:tab w:val="left" w:pos="1800"/>
      </w:tabs>
      <w:ind w:left="1800" w:hanging="851"/>
    </w:pPr>
    <w:rPr>
      <w:rFonts w:eastAsia="MS Mincho"/>
      <w:lang w:eastAsia="en-GB"/>
    </w:rPr>
  </w:style>
  <w:style w:type="paragraph" w:styleId="afe">
    <w:name w:val="footnote text"/>
    <w:basedOn w:val="a1"/>
    <w:semiHidden/>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1"/>
    <w:semiHidden/>
    <w:pPr>
      <w:ind w:left="1080"/>
    </w:pPr>
  </w:style>
  <w:style w:type="paragraph" w:styleId="aff">
    <w:name w:val="table of figures"/>
    <w:basedOn w:val="a1"/>
    <w:next w:val="a1"/>
    <w:semiHidden/>
    <w:pPr>
      <w:ind w:left="400" w:hanging="400"/>
      <w:jc w:val="center"/>
    </w:pPr>
    <w:rPr>
      <w:b/>
    </w:rPr>
  </w:style>
  <w:style w:type="paragraph" w:styleId="TOC9">
    <w:name w:val="toc 9"/>
    <w:basedOn w:val="TOC8"/>
    <w:next w:val="a1"/>
    <w:semiHidden/>
    <w:pPr>
      <w:ind w:left="1418" w:hanging="1418"/>
    </w:pPr>
  </w:style>
  <w:style w:type="paragraph" w:styleId="26">
    <w:name w:val="Body Text 2"/>
    <w:basedOn w:val="a1"/>
    <w:rPr>
      <w:i/>
    </w:rPr>
  </w:style>
  <w:style w:type="paragraph" w:styleId="aff0">
    <w:name w:val="Normal (Web)"/>
    <w:basedOn w:val="a1"/>
    <w:uiPriority w:val="99"/>
    <w:pPr>
      <w:spacing w:before="100" w:beforeAutospacing="1" w:after="100" w:afterAutospacing="1"/>
    </w:pPr>
    <w:rPr>
      <w:rFonts w:eastAsia="Arial Unicode MS"/>
      <w:sz w:val="24"/>
      <w:szCs w:val="24"/>
      <w:lang w:eastAsia="ja-JP"/>
    </w:rPr>
  </w:style>
  <w:style w:type="paragraph" w:styleId="12">
    <w:name w:val="index 1"/>
    <w:basedOn w:val="a1"/>
    <w:next w:val="a1"/>
    <w:semiHidden/>
    <w:pPr>
      <w:keepLines/>
    </w:pPr>
  </w:style>
  <w:style w:type="paragraph" w:styleId="27">
    <w:name w:val="index 2"/>
    <w:basedOn w:val="12"/>
    <w:next w:val="a1"/>
    <w:semiHidden/>
    <w:pPr>
      <w:ind w:left="284"/>
    </w:pPr>
  </w:style>
  <w:style w:type="paragraph" w:styleId="aff1">
    <w:name w:val="Title"/>
    <w:basedOn w:val="a1"/>
    <w:next w:val="a1"/>
    <w:link w:val="aff2"/>
    <w:qFormat/>
    <w:pPr>
      <w:spacing w:before="240" w:after="60"/>
      <w:outlineLvl w:val="0"/>
    </w:pPr>
    <w:rPr>
      <w:rFonts w:ascii="Courier New" w:hAnsi="Courier New"/>
      <w:lang w:val="nb-NO" w:eastAsia="ja-JP"/>
    </w:rPr>
  </w:style>
  <w:style w:type="paragraph" w:styleId="aff3">
    <w:name w:val="annotation subject"/>
    <w:basedOn w:val="ad"/>
    <w:next w:val="ad"/>
    <w:semiHidden/>
    <w:pPr>
      <w:widowControl/>
      <w:spacing w:line="240" w:lineRule="auto"/>
    </w:pPr>
    <w:rPr>
      <w:rFonts w:ascii="Times New Roman" w:eastAsia="Times New Roman"/>
      <w:b/>
      <w:bCs/>
      <w:sz w:val="20"/>
      <w:lang w:eastAsia="en-GB"/>
    </w:rPr>
  </w:style>
  <w:style w:type="table" w:styleId="aff4">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uiPriority w:val="22"/>
    <w:qFormat/>
    <w:rPr>
      <w:b/>
      <w:bCs/>
    </w:rPr>
  </w:style>
  <w:style w:type="character" w:styleId="aff6">
    <w:name w:val="endnote reference"/>
    <w:rPr>
      <w:vertAlign w:val="superscript"/>
    </w:rPr>
  </w:style>
  <w:style w:type="character" w:styleId="aff7">
    <w:name w:val="page number"/>
    <w:basedOn w:val="a2"/>
    <w:qFormat/>
  </w:style>
  <w:style w:type="character" w:styleId="aff8">
    <w:name w:val="FollowedHyperlink"/>
    <w:rPr>
      <w:color w:val="800080"/>
      <w:u w:val="single"/>
    </w:rPr>
  </w:style>
  <w:style w:type="character" w:styleId="aff9">
    <w:name w:val="Hyperlink"/>
    <w:rPr>
      <w:color w:val="0000FF"/>
      <w:u w:val="single"/>
    </w:rPr>
  </w:style>
  <w:style w:type="character" w:styleId="affa">
    <w:name w:val="annotation reference"/>
    <w:semiHidden/>
    <w:rPr>
      <w:sz w:val="16"/>
      <w:szCs w:val="16"/>
    </w:rPr>
  </w:style>
  <w:style w:type="character" w:styleId="affb">
    <w:name w:val="footnote reference"/>
    <w:semiHidden/>
    <w:rPr>
      <w:b/>
      <w:position w:val="6"/>
      <w:sz w:val="16"/>
    </w:rPr>
  </w:style>
  <w:style w:type="character" w:customStyle="1" w:styleId="11">
    <w:name w:val="标题 1 字符"/>
    <w:link w:val="10"/>
    <w:rPr>
      <w:rFonts w:ascii="Arial" w:eastAsia="黑体" w:hAnsi="Arial"/>
      <w:b/>
      <w:sz w:val="32"/>
      <w:szCs w:val="32"/>
    </w:rPr>
  </w:style>
  <w:style w:type="paragraph" w:customStyle="1" w:styleId="CharChar24">
    <w:name w:val="Char Char24"/>
    <w:basedOn w:val="a1"/>
    <w:semiHidden/>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link w:val="2"/>
    <w:rPr>
      <w:rFonts w:ascii="Arial" w:eastAsia="黑体" w:hAnsi="Arial"/>
      <w:sz w:val="24"/>
      <w:szCs w:val="24"/>
    </w:rPr>
  </w:style>
  <w:style w:type="character" w:customStyle="1" w:styleId="30">
    <w:name w:val="标题 3 字符"/>
    <w:link w:val="3"/>
    <w:rPr>
      <w:rFonts w:ascii="Arial" w:eastAsia="Arial" w:hAnsi="Arial"/>
      <w:bCs/>
      <w:kern w:val="2"/>
      <w:sz w:val="24"/>
      <w:szCs w:val="24"/>
    </w:rPr>
  </w:style>
  <w:style w:type="character" w:customStyle="1" w:styleId="40">
    <w:name w:val="标题 4 字符"/>
    <w:link w:val="4"/>
    <w:rPr>
      <w:rFonts w:ascii="Arial" w:eastAsia="Arial" w:hAnsi="Arial"/>
      <w:bCs/>
      <w:kern w:val="2"/>
      <w:sz w:val="24"/>
      <w:szCs w:val="24"/>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Q">
    <w:name w:val="EQ"/>
    <w:basedOn w:val="a1"/>
    <w:next w:val="a1"/>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0"/>
    <w:next w:val="a1"/>
    <w:pPr>
      <w:outlineLvl w:val="9"/>
    </w:pPr>
  </w:style>
  <w:style w:type="paragraph" w:customStyle="1" w:styleId="contribution">
    <w:name w:val="contribution"/>
    <w:basedOn w:val="10"/>
    <w:semiHidden/>
    <w:pPr>
      <w:numPr>
        <w:numId w:val="0"/>
      </w:numPr>
      <w:tabs>
        <w:tab w:val="left" w:pos="45"/>
      </w:tabs>
      <w:ind w:left="405" w:hanging="405"/>
    </w:pPr>
  </w:style>
  <w:style w:type="paragraph" w:customStyle="1" w:styleId="NO">
    <w:name w:val="NO"/>
    <w:basedOn w:val="a1"/>
    <w:link w:val="NOChar"/>
    <w:pPr>
      <w:keepLines/>
      <w:ind w:left="1135" w:hanging="851"/>
    </w:pPr>
  </w:style>
  <w:style w:type="character" w:customStyle="1" w:styleId="NOChar">
    <w:name w:val="NO Char"/>
    <w:link w:val="NO"/>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pPr>
      <w:keepNext/>
      <w:keepLines/>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0">
    <w:name w:val="正文文本 字符"/>
    <w:link w:val="af"/>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Pr>
      <w:i/>
      <w:color w:val="0000FF"/>
      <w:lang w:eastAsia="en-US"/>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pPr>
      <w:tabs>
        <w:tab w:val="center" w:pos="4820"/>
        <w:tab w:val="right" w:pos="9640"/>
      </w:tabs>
    </w:pPr>
  </w:style>
  <w:style w:type="paragraph" w:customStyle="1" w:styleId="Char">
    <w:name w:val="(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宋体" w:hAnsi="Arial"/>
      <w:sz w:val="28"/>
    </w:rPr>
  </w:style>
  <w:style w:type="paragraph" w:customStyle="1" w:styleId="affc">
    <w:name w:val="样式 页眉"/>
    <w:basedOn w:val="afb"/>
    <w:link w:val="Char0"/>
    <w:rPr>
      <w:rFonts w:eastAsia="Arial"/>
      <w:bCs/>
      <w:sz w:val="22"/>
    </w:rPr>
  </w:style>
  <w:style w:type="character" w:customStyle="1" w:styleId="afc">
    <w:name w:val="页眉 字符"/>
    <w:link w:val="afb"/>
    <w:rPr>
      <w:rFonts w:ascii="Arial" w:eastAsia="宋体" w:hAnsi="Arial"/>
      <w:sz w:val="18"/>
      <w:szCs w:val="18"/>
    </w:rPr>
  </w:style>
  <w:style w:type="character" w:customStyle="1" w:styleId="Char0">
    <w:name w:val="样式 页眉 Char"/>
    <w:link w:val="affc"/>
    <w:qFormat/>
    <w:rPr>
      <w:rFonts w:ascii="Arial" w:eastAsia="Arial" w:hAnsi="Arial"/>
      <w:b/>
      <w:bCs/>
      <w:sz w:val="22"/>
      <w:lang w:val="en-GB" w:eastAsia="en-US" w:bidi="ar-SA"/>
    </w:rPr>
  </w:style>
  <w:style w:type="paragraph" w:customStyle="1" w:styleId="a">
    <w:name w:val="表格题注"/>
    <w:next w:val="a1"/>
    <w:pPr>
      <w:numPr>
        <w:numId w:val="2"/>
      </w:numPr>
      <w:spacing w:beforeLines="50" w:before="50" w:afterLines="50" w:after="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rPr>
  </w:style>
  <w:style w:type="paragraph" w:customStyle="1" w:styleId="B10">
    <w:name w:val="B1"/>
    <w:basedOn w:val="a5"/>
    <w:link w:val="B1Char"/>
  </w:style>
  <w:style w:type="character" w:customStyle="1" w:styleId="B1Char">
    <w:name w:val="B1 Char"/>
    <w:link w:val="B10"/>
    <w:rPr>
      <w:rFonts w:eastAsia="宋体"/>
      <w:lang w:val="en-GB" w:eastAsia="en-US" w:bidi="ar-SA"/>
    </w:rPr>
  </w:style>
  <w:style w:type="paragraph" w:customStyle="1" w:styleId="EX">
    <w:name w:val="EX"/>
    <w:basedOn w:val="a1"/>
    <w:link w:val="EXChar"/>
    <w:pPr>
      <w:keepLines/>
      <w:ind w:left="1702" w:hanging="1418"/>
    </w:pPr>
    <w:rPr>
      <w:lang w:eastAsia="ja-JP"/>
    </w:rPr>
  </w:style>
  <w:style w:type="paragraph" w:customStyle="1" w:styleId="CharChar1">
    <w:name w:val="Char Char1"/>
    <w:basedOn w:val="a1"/>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1"/>
    <w:qFormat/>
    <w:rPr>
      <w:rFonts w:eastAsia="MS Mincho"/>
    </w:rPr>
  </w:style>
  <w:style w:type="character" w:customStyle="1" w:styleId="TANChar">
    <w:name w:val="TAN Char"/>
    <w:link w:val="TAN"/>
    <w:qFormat/>
    <w:rPr>
      <w:rFonts w:ascii="Arial" w:eastAsia="Times New Roman" w:hAnsi="Arial"/>
      <w:sz w:val="18"/>
      <w:lang w:val="en-GB" w:eastAsia="en-US"/>
    </w:rPr>
  </w:style>
  <w:style w:type="paragraph" w:customStyle="1" w:styleId="References">
    <w:name w:val="References"/>
    <w:basedOn w:val="a1"/>
    <w:uiPriority w:val="99"/>
    <w:pPr>
      <w:numPr>
        <w:numId w:val="4"/>
      </w:numPr>
      <w:spacing w:after="80"/>
    </w:pPr>
    <w:rPr>
      <w:sz w:val="18"/>
    </w:rPr>
  </w:style>
  <w:style w:type="character" w:customStyle="1" w:styleId="af5">
    <w:name w:val="日期 字符"/>
    <w:link w:val="af4"/>
    <w:rPr>
      <w:rFonts w:eastAsia="Times New Roman"/>
      <w:lang w:val="en-GB" w:eastAsia="en-US"/>
    </w:rPr>
  </w:style>
  <w:style w:type="paragraph" w:customStyle="1" w:styleId="TF">
    <w:name w:val="TF"/>
    <w:basedOn w:val="TH"/>
    <w:link w:val="TFChar"/>
    <w:pPr>
      <w:keepNext w:val="0"/>
      <w:spacing w:before="0" w:after="240"/>
    </w:pPr>
  </w:style>
  <w:style w:type="character" w:customStyle="1" w:styleId="TALCar">
    <w:name w:val="TAL Car"/>
    <w:rPr>
      <w:rFonts w:ascii="Arial" w:hAnsi="Arial"/>
      <w:sz w:val="18"/>
      <w:lang w:val="en-GB" w:eastAsia="en-US" w:bidi="ar-SA"/>
    </w:rPr>
  </w:style>
  <w:style w:type="paragraph" w:customStyle="1" w:styleId="NF">
    <w:name w:val="NF"/>
    <w:basedOn w:val="NO"/>
    <w:pPr>
      <w:keepNext/>
    </w:pPr>
    <w:rPr>
      <w:rFonts w:ascii="Arial" w:hAnsi="Arial"/>
      <w:sz w:val="18"/>
      <w:lang w:eastAsia="ja-JP"/>
    </w:rPr>
  </w:style>
  <w:style w:type="paragraph" w:customStyle="1" w:styleId="FP">
    <w:name w:val="FP"/>
    <w:basedOn w:val="a1"/>
    <w:rPr>
      <w:lang w:eastAsia="ja-JP"/>
    </w:rPr>
  </w:style>
  <w:style w:type="paragraph" w:customStyle="1" w:styleId="EW">
    <w:name w:val="EW"/>
    <w:basedOn w:val="EX"/>
  </w:style>
  <w:style w:type="character" w:customStyle="1" w:styleId="TFChar">
    <w:name w:val="TF Char"/>
    <w:link w:val="TF"/>
    <w:rPr>
      <w:rFonts w:ascii="Arial" w:eastAsia="宋体" w:hAnsi="Arial"/>
      <w:b/>
      <w:lang w:val="en-GB" w:eastAsia="en-US" w:bidi="ar-SA"/>
    </w:rPr>
  </w:style>
  <w:style w:type="paragraph" w:customStyle="1" w:styleId="B3">
    <w:name w:val="B3"/>
    <w:basedOn w:val="31"/>
    <w:qFormat/>
    <w:rPr>
      <w:lang w:eastAsia="ja-JP"/>
    </w:rPr>
  </w:style>
  <w:style w:type="paragraph" w:customStyle="1" w:styleId="B4">
    <w:name w:val="B4"/>
    <w:basedOn w:val="43"/>
    <w:rPr>
      <w:lang w:eastAsia="ja-JP"/>
    </w:rPr>
  </w:style>
  <w:style w:type="paragraph" w:customStyle="1" w:styleId="B5">
    <w:name w:val="B5"/>
    <w:basedOn w:val="53"/>
    <w:rPr>
      <w:lang w:eastAsia="ja-JP"/>
    </w:rPr>
  </w:style>
  <w:style w:type="paragraph" w:customStyle="1" w:styleId="INDENT1">
    <w:name w:val="INDENT1"/>
    <w:basedOn w:val="a1"/>
    <w:pPr>
      <w:ind w:left="851"/>
    </w:pPr>
    <w:rPr>
      <w:lang w:eastAsia="ja-JP"/>
    </w:rPr>
  </w:style>
  <w:style w:type="paragraph" w:customStyle="1" w:styleId="INDENT2">
    <w:name w:val="INDENT2"/>
    <w:basedOn w:val="a1"/>
    <w:pPr>
      <w:ind w:left="1135" w:hanging="284"/>
    </w:pPr>
    <w:rPr>
      <w:lang w:eastAsia="ja-JP"/>
    </w:rPr>
  </w:style>
  <w:style w:type="paragraph" w:customStyle="1" w:styleId="INDENT3">
    <w:name w:val="INDENT3"/>
    <w:basedOn w:val="a1"/>
    <w:pPr>
      <w:ind w:left="1701" w:hanging="567"/>
    </w:pPr>
    <w:rPr>
      <w:lang w:eastAsia="ja-JP"/>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pPr>
      <w:keepNext/>
      <w:keepLines/>
    </w:pPr>
    <w:rPr>
      <w:b/>
      <w:lang w:eastAsia="ja-JP"/>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eastAsia="ja-JP"/>
    </w:rPr>
  </w:style>
  <w:style w:type="paragraph" w:customStyle="1" w:styleId="CouvRecTitle">
    <w:name w:val="Couv Rec Title"/>
    <w:basedOn w:val="a1"/>
    <w:pPr>
      <w:keepNext/>
      <w:keepLines/>
      <w:spacing w:before="240"/>
      <w:ind w:left="1418"/>
    </w:pPr>
    <w:rPr>
      <w:rFonts w:ascii="Arial" w:hAnsi="Arial"/>
      <w:b/>
      <w:sz w:val="36"/>
      <w:lang w:eastAsia="ja-JP"/>
    </w:rPr>
  </w:style>
  <w:style w:type="character" w:customStyle="1" w:styleId="aa">
    <w:name w:val="题注 字符"/>
    <w:link w:val="a9"/>
    <w:uiPriority w:val="35"/>
    <w:rPr>
      <w:rFonts w:eastAsia="Times New Roman"/>
      <w:b/>
      <w:lang w:val="en-GB" w:eastAsia="en-US"/>
    </w:rPr>
  </w:style>
  <w:style w:type="paragraph" w:customStyle="1" w:styleId="TAJ">
    <w:name w:val="TAJ"/>
    <w:basedOn w:val="TH"/>
    <w:rPr>
      <w:lang w:eastAsia="ja-JP"/>
    </w:rPr>
  </w:style>
  <w:style w:type="paragraph" w:customStyle="1" w:styleId="TableText">
    <w:name w:val="TableText"/>
    <w:basedOn w:val="af1"/>
  </w:style>
  <w:style w:type="paragraph" w:customStyle="1" w:styleId="CRCoverPage">
    <w:name w:val="CR Cover Page"/>
    <w:next w:val="a1"/>
    <w:link w:val="CRCoverPageChar"/>
    <w:pPr>
      <w:spacing w:after="120"/>
    </w:pPr>
    <w:rPr>
      <w:rFonts w:ascii="Arial" w:eastAsia="宋体" w:hAnsi="Arial"/>
      <w:lang w:val="en-GB" w:eastAsia="en-US"/>
    </w:rPr>
  </w:style>
  <w:style w:type="paragraph" w:customStyle="1" w:styleId="Figure">
    <w:name w:val="Figure"/>
    <w:basedOn w:val="a1"/>
    <w:rsid w:val="00436DCE"/>
    <w:pPr>
      <w:numPr>
        <w:ilvl w:val="7"/>
        <w:numId w:val="15"/>
      </w:numPr>
      <w:ind w:leftChars="0" w:left="0"/>
      <w:jc w:val="center"/>
    </w:pPr>
    <w:rPr>
      <w:rFonts w:eastAsia="宋体"/>
    </w:rPr>
  </w:style>
  <w:style w:type="paragraph" w:customStyle="1" w:styleId="tdoc-header">
    <w:name w:val="tdoc-header"/>
    <w:rPr>
      <w:rFonts w:ascii="Arial" w:eastAsia="宋体" w:hAnsi="Arial"/>
      <w:sz w:val="24"/>
      <w:lang w:val="en-GB" w:eastAsia="en-US"/>
    </w:rPr>
  </w:style>
  <w:style w:type="table" w:customStyle="1" w:styleId="TableGrid1">
    <w:name w:val="Table Grid1"/>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pPr>
      <w:tabs>
        <w:tab w:val="left" w:pos="1418"/>
      </w:tabs>
      <w:spacing w:after="120"/>
    </w:pPr>
    <w:rPr>
      <w:rFonts w:ascii="Arial" w:eastAsia="MS Mincho" w:hAnsi="Arial"/>
      <w:sz w:val="24"/>
      <w:lang w:val="fr-FR"/>
    </w:rPr>
  </w:style>
  <w:style w:type="paragraph" w:customStyle="1" w:styleId="p20">
    <w:name w:val="p20"/>
    <w:basedOn w:val="a1"/>
    <w:pPr>
      <w:snapToGrid w:val="0"/>
    </w:pPr>
    <w:rPr>
      <w:rFonts w:ascii="Arial" w:hAnsi="Arial" w:cs="Arial"/>
      <w:sz w:val="18"/>
      <w:szCs w:val="18"/>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pPr>
      <w:keepNext/>
      <w:numPr>
        <w:numId w:val="5"/>
      </w:numPr>
      <w:spacing w:beforeLines="20" w:before="62" w:afterLines="10" w:after="31"/>
      <w:ind w:right="284"/>
      <w:jc w:val="both"/>
      <w:outlineLvl w:val="0"/>
    </w:pPr>
    <w:rPr>
      <w:rFonts w:ascii="Arial" w:hAnsi="Arial" w:cs="宋体"/>
      <w:b/>
      <w:bCs/>
      <w:sz w:val="28"/>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6">
    <w:name w:val="网格型3"/>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rPr>
      <w:lang w:val="en-GB" w:eastAsia="ja-JP" w:bidi="ar-SA"/>
    </w:rPr>
  </w:style>
  <w:style w:type="paragraph" w:customStyle="1" w:styleId="ListParagraph1">
    <w:name w:val="List Paragraph1"/>
    <w:basedOn w:val="a1"/>
    <w:qFormat/>
    <w:pPr>
      <w:ind w:left="720"/>
      <w:contextualSpacing/>
    </w:pPr>
  </w:style>
  <w:style w:type="paragraph" w:customStyle="1" w:styleId="1">
    <w:name w:val="样式1"/>
    <w:basedOn w:val="TAN"/>
    <w:link w:val="1Char0"/>
    <w:qFormat/>
    <w:pPr>
      <w:numPr>
        <w:numId w:val="6"/>
      </w:numPr>
    </w:pPr>
    <w:rPr>
      <w:rFonts w:eastAsia="MS Mincho"/>
      <w:lang w:eastAsia="ja-JP"/>
    </w:rPr>
  </w:style>
  <w:style w:type="character" w:customStyle="1" w:styleId="1Char0">
    <w:name w:val="样式1 Char"/>
    <w:link w:val="1"/>
    <w:rPr>
      <w:rFonts w:ascii="Arial" w:hAnsi="Arial"/>
      <w:sz w:val="18"/>
      <w:lang w:val="en-GB" w:eastAsia="ja-JP"/>
    </w:rPr>
  </w:style>
  <w:style w:type="character" w:customStyle="1" w:styleId="af3">
    <w:name w:val="纯文本 字符"/>
    <w:link w:val="af2"/>
    <w:rPr>
      <w:rFonts w:ascii="Courier New" w:eastAsia="Times New Roman" w:hAnsi="Courier New"/>
      <w:lang w:val="nb-NO" w:eastAsia="en-US"/>
    </w:rPr>
  </w:style>
  <w:style w:type="character" w:customStyle="1" w:styleId="capChar2">
    <w:name w:val="cap Char2"/>
    <w:rPr>
      <w:b/>
      <w:lang w:val="en-GB" w:eastAsia="en-GB" w:bidi="ar-SA"/>
    </w:rPr>
  </w:style>
  <w:style w:type="character" w:customStyle="1" w:styleId="btChar2">
    <w:name w:val="bt Char2"/>
    <w:rPr>
      <w:lang w:val="en-GB" w:eastAsia="ja-JP"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paragraph" w:customStyle="1" w:styleId="Separation">
    <w:name w:val="Separation"/>
    <w:basedOn w:val="10"/>
    <w:next w:val="a1"/>
    <w:pPr>
      <w:numPr>
        <w:numId w:val="0"/>
      </w:numPr>
      <w:ind w:left="1134" w:hanging="1134"/>
    </w:pPr>
    <w:rPr>
      <w:rFonts w:eastAsia="宋体"/>
      <w:b w:val="0"/>
      <w:color w:val="0000FF"/>
    </w:rPr>
  </w:style>
  <w:style w:type="character" w:customStyle="1" w:styleId="50">
    <w:name w:val="标题 5 字符"/>
    <w:link w:val="5"/>
    <w:rPr>
      <w:rFonts w:ascii="Arial" w:eastAsia="宋体" w:hAnsi="Arial"/>
      <w:sz w:val="22"/>
    </w:rPr>
  </w:style>
  <w:style w:type="character" w:customStyle="1" w:styleId="H6Char">
    <w:name w:val="H6 Char"/>
    <w:link w:val="H6"/>
    <w:rPr>
      <w:rFonts w:ascii="Arial" w:eastAsia="宋体" w:hAnsi="Arial"/>
    </w:rPr>
  </w:style>
  <w:style w:type="character" w:customStyle="1" w:styleId="60">
    <w:name w:val="标题 6 字符"/>
    <w:basedOn w:val="H6Char"/>
    <w:link w:val="6"/>
    <w:qFormat/>
    <w:rPr>
      <w:rFonts w:ascii="Arial" w:eastAsia="宋体" w:hAnsi="Arial"/>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basedOn w:val="H6Char"/>
    <w:rPr>
      <w:rFonts w:ascii="Arial" w:eastAsia="宋体" w:hAnsi="Arial"/>
    </w:rPr>
  </w:style>
  <w:style w:type="character" w:customStyle="1" w:styleId="T1Char1">
    <w:name w:val="T1 Char1"/>
    <w:basedOn w:val="H6Char"/>
    <w:rPr>
      <w:rFonts w:ascii="Arial" w:eastAsia="宋体" w:hAnsi="Arial"/>
    </w:rPr>
  </w:style>
  <w:style w:type="character" w:customStyle="1" w:styleId="h5Char">
    <w:name w:val="h5 Char"/>
    <w:rPr>
      <w:rFonts w:ascii="Arial" w:eastAsia="MS Mincho" w:hAnsi="Arial"/>
      <w:sz w:val="22"/>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rPr>
      <w:rFonts w:ascii="Arial" w:hAnsi="Arial"/>
      <w:sz w:val="32"/>
      <w:lang w:val="en-GB" w:eastAsia="en-US" w:bidi="ar-SA"/>
    </w:rPr>
  </w:style>
  <w:style w:type="character" w:customStyle="1" w:styleId="NMPHeading1Char">
    <w:name w:val="NMP Heading 1 Char"/>
    <w:rPr>
      <w:rFonts w:ascii="Arial" w:hAnsi="Arial"/>
      <w:sz w:val="36"/>
      <w:lang w:val="en-GB" w:eastAsia="en-US" w:bidi="ar-SA"/>
    </w:rPr>
  </w:style>
  <w:style w:type="table" w:customStyle="1" w:styleId="Tabellengitternetz1">
    <w:name w:val="Tabellengitternetz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rPr>
      <w:rFonts w:ascii="Arial" w:hAnsi="Arial"/>
      <w:sz w:val="32"/>
      <w:lang w:val="en-GB" w:eastAsia="en-US" w:bidi="ar-SA"/>
    </w:rPr>
  </w:style>
  <w:style w:type="paragraph" w:customStyle="1" w:styleId="28">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Pr>
      <w:rFonts w:ascii="Arial" w:hAnsi="Arial"/>
      <w:sz w:val="32"/>
      <w:lang w:val="en-GB" w:eastAsia="en-US" w:bidi="ar-SA"/>
    </w:rPr>
  </w:style>
  <w:style w:type="character" w:customStyle="1" w:styleId="h4Char1">
    <w:name w:val="h4 Char1"/>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basedOn w:val="H6Char"/>
    <w:rPr>
      <w:rFonts w:ascii="Arial" w:eastAsia="宋体" w:hAnsi="Arial"/>
    </w:rPr>
  </w:style>
  <w:style w:type="character" w:customStyle="1" w:styleId="ac">
    <w:name w:val="文档结构图 字符"/>
    <w:link w:val="ab"/>
    <w:semiHidden/>
    <w:rPr>
      <w:rFonts w:ascii="Tahoma" w:eastAsia="Times New Roman" w:hAnsi="Tahoma"/>
      <w:shd w:val="clear" w:color="auto" w:fill="000080"/>
      <w:lang w:val="en-GB" w:eastAsia="en-US"/>
    </w:rPr>
  </w:style>
  <w:style w:type="character" w:customStyle="1" w:styleId="ae">
    <w:name w:val="批注文字 字符"/>
    <w:link w:val="ad"/>
    <w:semiHidden/>
    <w:rPr>
      <w:rFonts w:ascii="–¾’©" w:eastAsia="–¾’©"/>
      <w:sz w:val="24"/>
      <w:lang w:val="en-GB" w:eastAsia="en-US"/>
    </w:rPr>
  </w:style>
  <w:style w:type="character" w:customStyle="1" w:styleId="af9">
    <w:name w:val="批注框文本 字符"/>
    <w:basedOn w:val="a2"/>
    <w:link w:val="af8"/>
    <w:rsid w:val="00436DCE"/>
    <w:rPr>
      <w:rFonts w:eastAsia="Times New Roman"/>
      <w:sz w:val="18"/>
      <w:szCs w:val="18"/>
    </w:rPr>
  </w:style>
  <w:style w:type="paragraph" w:customStyle="1" w:styleId="Bullet">
    <w:name w:val="Bullet"/>
    <w:basedOn w:val="a1"/>
    <w:pPr>
      <w:numPr>
        <w:numId w:val="7"/>
      </w:numPr>
    </w:pPr>
    <w:rPr>
      <w:rFonts w:eastAsia="Batang"/>
    </w:rPr>
  </w:style>
  <w:style w:type="table" w:customStyle="1" w:styleId="TableGrid2">
    <w:name w:val="Table Grid2"/>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numPr>
        <w:ilvl w:val="0"/>
        <w:numId w:val="0"/>
      </w:numPr>
      <w:spacing w:before="240" w:after="180"/>
      <w:ind w:left="1980" w:hanging="1980"/>
    </w:pPr>
    <w:rPr>
      <w:rFonts w:eastAsia="MS Mincho"/>
      <w:bCs w:val="0"/>
      <w:lang w:val="en-GB" w:eastAsia="en-US"/>
    </w:rPr>
  </w:style>
  <w:style w:type="paragraph" w:customStyle="1" w:styleId="StyleHeading6After9pt">
    <w:name w:val="Style Heading 6 + After:  9 pt"/>
    <w:basedOn w:val="6"/>
    <w:qFormat/>
    <w:pPr>
      <w:numPr>
        <w:ilvl w:val="0"/>
        <w:numId w:val="0"/>
      </w:numPr>
      <w:spacing w:before="240" w:after="180"/>
    </w:pPr>
    <w:rPr>
      <w:rFonts w:eastAsia="MS Mincho"/>
      <w:bCs w:val="0"/>
      <w:lang w:val="en-GB" w:eastAsia="en-US"/>
    </w:rPr>
  </w:style>
  <w:style w:type="table" w:customStyle="1" w:styleId="TableGrid3">
    <w:name w:val="Table Grid3"/>
    <w:basedOn w:val="a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1"/>
    <w:semiHidden/>
    <w:rPr>
      <w:rFonts w:ascii="Tahoma" w:eastAsia="MS Mincho" w:hAnsi="Tahoma" w:cs="Tahoma"/>
      <w:sz w:val="16"/>
      <w:szCs w:val="16"/>
    </w:rPr>
  </w:style>
  <w:style w:type="paragraph" w:customStyle="1" w:styleId="JK-text-simpledoc">
    <w:name w:val="JK - text - simple doc"/>
    <w:basedOn w:val="af"/>
    <w:qFormat/>
    <w:pPr>
      <w:numPr>
        <w:numId w:val="8"/>
      </w:numPr>
      <w:tabs>
        <w:tab w:val="clear" w:pos="1980"/>
        <w:tab w:val="left" w:pos="1097"/>
      </w:tabs>
      <w:spacing w:after="120" w:line="288" w:lineRule="auto"/>
      <w:ind w:left="1097" w:hanging="360"/>
    </w:pPr>
    <w:rPr>
      <w:rFonts w:ascii="Arial" w:hAnsi="Arial" w:cs="Arial"/>
    </w:rPr>
  </w:style>
  <w:style w:type="paragraph" w:customStyle="1" w:styleId="b11">
    <w:name w:val="b1"/>
    <w:basedOn w:val="a1"/>
    <w:qFormat/>
    <w:pPr>
      <w:spacing w:before="100" w:beforeAutospacing="1" w:after="100" w:afterAutospacing="1"/>
    </w:pPr>
    <w:rPr>
      <w:sz w:val="24"/>
      <w:szCs w:val="24"/>
    </w:rPr>
  </w:style>
  <w:style w:type="paragraph" w:customStyle="1" w:styleId="13">
    <w:name w:val="吹き出し1"/>
    <w:basedOn w:val="a1"/>
    <w:semiHidden/>
    <w:qFormat/>
    <w:rPr>
      <w:rFonts w:ascii="Tahoma" w:eastAsia="MS Mincho" w:hAnsi="Tahoma" w:cs="Tahoma"/>
      <w:sz w:val="16"/>
      <w:szCs w:val="16"/>
    </w:rPr>
  </w:style>
  <w:style w:type="paragraph" w:customStyle="1" w:styleId="14">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Pr>
      <w:rFonts w:eastAsia="Batang"/>
      <w:lang w:val="en-GB" w:eastAsia="en-US"/>
    </w:rPr>
  </w:style>
  <w:style w:type="paragraph" w:customStyle="1" w:styleId="29">
    <w:name w:val="吹き出し2"/>
    <w:basedOn w:val="a1"/>
    <w:semiHidden/>
    <w:rPr>
      <w:rFonts w:ascii="Tahoma" w:eastAsia="MS Mincho" w:hAnsi="Tahoma" w:cs="Tahoma"/>
      <w:sz w:val="16"/>
      <w:szCs w:val="16"/>
    </w:rPr>
  </w:style>
  <w:style w:type="character" w:customStyle="1" w:styleId="EXChar">
    <w:name w:val="EX Char"/>
    <w:link w:val="EX"/>
    <w:rPr>
      <w:rFonts w:eastAsia="宋体"/>
      <w:lang w:val="en-GB" w:eastAsia="ja-JP"/>
    </w:rPr>
  </w:style>
  <w:style w:type="character" w:customStyle="1" w:styleId="25">
    <w:name w:val="正文文本缩进 2 字符"/>
    <w:link w:val="24"/>
    <w:rPr>
      <w:lang w:val="en-GB" w:eastAsia="en-GB"/>
    </w:rPr>
  </w:style>
  <w:style w:type="paragraph" w:customStyle="1" w:styleId="Note">
    <w:name w:val="Note"/>
    <w:basedOn w:val="B10"/>
    <w:rPr>
      <w:rFonts w:eastAsia="MS Mincho"/>
      <w:lang w:eastAsia="en-GB"/>
    </w:rPr>
  </w:style>
  <w:style w:type="paragraph" w:customStyle="1" w:styleId="tabletext0">
    <w:name w:val="table text"/>
    <w:basedOn w:val="a1"/>
    <w:next w:val="a1"/>
    <w:rPr>
      <w:rFonts w:eastAsia="MS Mincho"/>
      <w:i/>
      <w:lang w:eastAsia="en-GB"/>
    </w:rPr>
  </w:style>
  <w:style w:type="paragraph" w:customStyle="1" w:styleId="TOC91">
    <w:name w:val="TOC 91"/>
    <w:basedOn w:val="TOC8"/>
    <w:pPr>
      <w:keepNext/>
      <w:ind w:left="1418" w:hanging="1418"/>
    </w:pPr>
    <w:rPr>
      <w:rFonts w:eastAsia="MS Mincho"/>
      <w:lang w:eastAsia="en-GB"/>
    </w:rPr>
  </w:style>
  <w:style w:type="paragraph" w:customStyle="1" w:styleId="Caption1">
    <w:name w:val="Caption1"/>
    <w:basedOn w:val="a1"/>
    <w:next w:val="a1"/>
    <w:pPr>
      <w:spacing w:before="120" w:after="120"/>
    </w:pPr>
    <w:rPr>
      <w:rFonts w:eastAsia="MS Mincho"/>
      <w:b/>
      <w:lang w:eastAsia="en-GB"/>
    </w:rPr>
  </w:style>
  <w:style w:type="paragraph" w:customStyle="1" w:styleId="HE">
    <w:name w:val="HE"/>
    <w:basedOn w:val="a1"/>
    <w:rPr>
      <w:rFonts w:eastAsia="MS Mincho"/>
      <w:b/>
      <w:lang w:eastAsia="en-GB"/>
    </w:rPr>
  </w:style>
  <w:style w:type="paragraph" w:customStyle="1" w:styleId="HO">
    <w:name w:val="HO"/>
    <w:basedOn w:val="a1"/>
    <w:pPr>
      <w:jc w:val="right"/>
    </w:pPr>
    <w:rPr>
      <w:rFonts w:eastAsia="MS Mincho"/>
      <w:b/>
      <w:lang w:eastAsia="en-GB"/>
    </w:rPr>
  </w:style>
  <w:style w:type="paragraph" w:customStyle="1" w:styleId="WP">
    <w:name w:val="WP"/>
    <w:basedOn w:val="a1"/>
    <w:pPr>
      <w:jc w:val="both"/>
    </w:pPr>
    <w:rPr>
      <w:rFonts w:eastAsia="MS Mincho"/>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fa"/>
    <w:pPr>
      <w:tabs>
        <w:tab w:val="center" w:pos="4678"/>
        <w:tab w:val="right" w:pos="9356"/>
      </w:tabs>
      <w:jc w:val="both"/>
    </w:pPr>
    <w:rPr>
      <w:rFonts w:ascii="Times New Roman" w:eastAsia="MS Mincho" w:hAnsi="Times New Roman"/>
      <w:b/>
      <w:i/>
      <w:sz w:val="20"/>
      <w:lang w:eastAsia="en-GB"/>
    </w:rPr>
  </w:style>
  <w:style w:type="paragraph" w:customStyle="1" w:styleId="CRfront">
    <w:name w:val="CR_front"/>
    <w:basedOn w:val="a1"/>
    <w:rPr>
      <w:rFonts w:eastAsia="MS Mincho"/>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1"/>
    <w:pPr>
      <w:spacing w:before="120" w:after="120"/>
    </w:pPr>
    <w:rPr>
      <w:rFonts w:eastAsia="MS Mincho"/>
      <w:lang w:eastAsia="en-GB"/>
    </w:rPr>
  </w:style>
  <w:style w:type="paragraph" w:customStyle="1" w:styleId="Teststep">
    <w:name w:val="Test step"/>
    <w:basedOn w:val="a1"/>
    <w:pPr>
      <w:tabs>
        <w:tab w:val="left" w:pos="720"/>
      </w:tabs>
      <w:ind w:left="720" w:hanging="720"/>
    </w:pPr>
    <w:rPr>
      <w:rFonts w:eastAsia="MS Mincho"/>
      <w:lang w:eastAsia="en-GB"/>
    </w:rPr>
  </w:style>
  <w:style w:type="paragraph" w:customStyle="1" w:styleId="TableTitle">
    <w:name w:val="TableTitle"/>
    <w:basedOn w:val="26"/>
    <w:next w:val="26"/>
  </w:style>
  <w:style w:type="paragraph" w:customStyle="1" w:styleId="TableofFigures1">
    <w:name w:val="Table of Figures1"/>
    <w:basedOn w:val="a1"/>
    <w:next w:val="a1"/>
    <w:pPr>
      <w:ind w:left="400" w:hanging="400"/>
      <w:jc w:val="center"/>
    </w:pPr>
    <w:rPr>
      <w:rFonts w:eastAsia="MS Mincho"/>
      <w:b/>
      <w:lang w:eastAsia="en-GB"/>
    </w:rPr>
  </w:style>
  <w:style w:type="paragraph" w:customStyle="1" w:styleId="table0">
    <w:name w:val="table"/>
    <w:basedOn w:val="a1"/>
    <w:next w:val="a1"/>
    <w:pPr>
      <w:jc w:val="center"/>
    </w:pPr>
    <w:rPr>
      <w:rFonts w:eastAsia="MS Mincho"/>
      <w:lang w:eastAsia="en-GB"/>
    </w:rPr>
  </w:style>
  <w:style w:type="paragraph" w:customStyle="1" w:styleId="t2">
    <w:name w:val="t2"/>
    <w:basedOn w:val="a1"/>
    <w:rPr>
      <w:rFonts w:eastAsia="MS Mincho"/>
      <w:lang w:eastAsia="en-GB"/>
    </w:rPr>
  </w:style>
  <w:style w:type="paragraph" w:customStyle="1" w:styleId="CommentNokia">
    <w:name w:val="Comment Nokia"/>
    <w:basedOn w:val="a1"/>
    <w:qFormat/>
    <w:pPr>
      <w:tabs>
        <w:tab w:val="left" w:pos="360"/>
      </w:tabs>
      <w:ind w:left="360" w:hanging="360"/>
    </w:pPr>
    <w:rPr>
      <w:rFonts w:eastAsia="MS Mincho"/>
      <w:lang w:eastAsia="en-GB"/>
    </w:rPr>
  </w:style>
  <w:style w:type="paragraph" w:customStyle="1" w:styleId="Copyright">
    <w:name w:val="Copyright"/>
    <w:basedOn w:val="a1"/>
    <w:pPr>
      <w:jc w:val="center"/>
    </w:pPr>
    <w:rPr>
      <w:rFonts w:ascii="Arial" w:eastAsia="MS Mincho" w:hAnsi="Arial"/>
      <w:b/>
      <w:sz w:val="16"/>
      <w:lang w:eastAsia="ja-JP"/>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numPr>
        <w:numId w:val="0"/>
      </w:numPr>
      <w:spacing w:before="180"/>
      <w:ind w:left="1134" w:hanging="1134"/>
      <w:outlineLvl w:val="1"/>
    </w:pPr>
    <w:rPr>
      <w:rFonts w:eastAsia="宋体"/>
      <w:lang w:eastAsia="es-ES"/>
    </w:rPr>
  </w:style>
  <w:style w:type="paragraph" w:customStyle="1" w:styleId="TitleText">
    <w:name w:val="Title Text"/>
    <w:basedOn w:val="a1"/>
    <w:next w:val="a1"/>
    <w:qFormat/>
    <w:pPr>
      <w:spacing w:after="220"/>
    </w:pPr>
    <w:rPr>
      <w:rFonts w:eastAsia="MS Mincho"/>
      <w:b/>
      <w:lang w:eastAsia="en-GB"/>
    </w:rPr>
  </w:style>
  <w:style w:type="paragraph" w:customStyle="1" w:styleId="berschrift2Head2A2">
    <w:name w:val="Überschrift 2.Head2A.2"/>
    <w:basedOn w:val="10"/>
    <w:next w:val="a1"/>
    <w:pPr>
      <w:numPr>
        <w:numId w:val="0"/>
      </w:numPr>
      <w:spacing w:before="180"/>
      <w:ind w:left="1134" w:hanging="1134"/>
      <w:outlineLvl w:val="1"/>
    </w:pPr>
    <w:rPr>
      <w:rFonts w:eastAsia="MS Mincho"/>
      <w:lang w:eastAsia="de-DE"/>
    </w:rPr>
  </w:style>
  <w:style w:type="paragraph" w:customStyle="1" w:styleId="berschrift3h3H3Underrubrik2">
    <w:name w:val="Überschrift 3.h3.H3.Underrubrik2"/>
    <w:basedOn w:val="2"/>
    <w:next w:val="a1"/>
    <w:pPr>
      <w:keepLines/>
      <w:numPr>
        <w:ilvl w:val="0"/>
        <w:numId w:val="0"/>
      </w:numPr>
      <w:spacing w:before="120" w:after="180"/>
      <w:ind w:left="1134" w:hanging="1134"/>
      <w:outlineLvl w:val="2"/>
    </w:pPr>
    <w:rPr>
      <w:rFonts w:eastAsia="MS Mincho"/>
      <w:sz w:val="28"/>
      <w:lang w:eastAsia="de-DE"/>
    </w:rPr>
  </w:style>
  <w:style w:type="paragraph" w:customStyle="1" w:styleId="Reference">
    <w:name w:val="Reference"/>
    <w:basedOn w:val="a1"/>
    <w:pPr>
      <w:ind w:left="567" w:hanging="283"/>
    </w:pPr>
    <w:rPr>
      <w:rFonts w:eastAsia="MS Mincho"/>
      <w:lang w:eastAsia="en-GB"/>
    </w:rPr>
  </w:style>
  <w:style w:type="paragraph" w:customStyle="1" w:styleId="Bullets">
    <w:name w:val="Bullets"/>
    <w:basedOn w:val="af"/>
    <w:pPr>
      <w:spacing w:after="120"/>
      <w:ind w:left="283" w:hanging="283"/>
    </w:pPr>
    <w:rPr>
      <w:rFonts w:eastAsia="MS Mincho"/>
      <w:lang w:eastAsia="de-DE"/>
    </w:rPr>
  </w:style>
  <w:style w:type="paragraph" w:customStyle="1" w:styleId="11BodyText">
    <w:name w:val="11 BodyText"/>
    <w:basedOn w:val="a1"/>
    <w:pPr>
      <w:spacing w:after="220"/>
      <w:ind w:left="1298"/>
    </w:pPr>
    <w:rPr>
      <w:rFonts w:ascii="Arial" w:hAnsi="Arial"/>
      <w:lang w:eastAsia="en-GB"/>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Revision2">
    <w:name w:val="Revision2"/>
    <w:hidden/>
    <w:semiHidden/>
    <w:rPr>
      <w:rFonts w:eastAsia="Batang"/>
      <w:lang w:val="en-GB" w:eastAsia="en-US"/>
    </w:rPr>
  </w:style>
  <w:style w:type="character" w:customStyle="1" w:styleId="af7">
    <w:name w:val="尾注文本 字符"/>
    <w:link w:val="af6"/>
    <w:rPr>
      <w:rFonts w:eastAsia="宋体"/>
      <w:lang w:val="en-GB" w:eastAsia="en-US"/>
    </w:rPr>
  </w:style>
  <w:style w:type="character" w:customStyle="1" w:styleId="btChar3">
    <w:name w:val="bt Char3"/>
    <w:rPr>
      <w:lang w:val="en-GB" w:eastAsia="ja-JP" w:bidi="ar-SA"/>
    </w:rPr>
  </w:style>
  <w:style w:type="character" w:customStyle="1" w:styleId="CRCoverPageChar">
    <w:name w:val="CR Cover Page Char"/>
    <w:link w:val="CRCoverPage"/>
    <w:rPr>
      <w:rFonts w:ascii="Arial" w:eastAsia="宋体" w:hAnsi="Arial"/>
      <w:lang w:val="en-GB" w:eastAsia="en-US" w:bidi="ar-SA"/>
    </w:rPr>
  </w:style>
  <w:style w:type="character" w:customStyle="1" w:styleId="aff2">
    <w:name w:val="标题 字符"/>
    <w:link w:val="aff1"/>
    <w:rPr>
      <w:rFonts w:ascii="Courier New" w:eastAsia="宋体" w:hAnsi="Courier New"/>
      <w:lang w:val="nb-NO" w:eastAsia="ja-JP"/>
    </w:rPr>
  </w:style>
  <w:style w:type="paragraph" w:customStyle="1" w:styleId="B1">
    <w:name w:val="B1+"/>
    <w:basedOn w:val="a1"/>
    <w:pPr>
      <w:numPr>
        <w:numId w:val="9"/>
      </w:numPr>
    </w:pPr>
  </w:style>
  <w:style w:type="paragraph" w:customStyle="1" w:styleId="FL">
    <w:name w:val="FL"/>
    <w:basedOn w:val="a1"/>
    <w:pPr>
      <w:keepNext/>
      <w:keepLines/>
      <w:spacing w:before="60"/>
      <w:jc w:val="center"/>
    </w:pPr>
    <w:rPr>
      <w:rFonts w:ascii="Arial" w:hAnsi="Arial"/>
      <w:b/>
    </w:rPr>
  </w:style>
  <w:style w:type="paragraph" w:customStyle="1" w:styleId="AutoCorrect">
    <w:name w:val="AutoCorrect"/>
    <w:rPr>
      <w:rFonts w:eastAsia="宋体"/>
      <w:sz w:val="24"/>
      <w:szCs w:val="24"/>
      <w:lang w:val="en-GB" w:eastAsia="ko-KR"/>
    </w:rPr>
  </w:style>
  <w:style w:type="paragraph" w:customStyle="1" w:styleId="-PAGE-">
    <w:name w:val="- PAGE -"/>
    <w:rPr>
      <w:rFonts w:eastAsia="宋体"/>
      <w:sz w:val="24"/>
      <w:szCs w:val="24"/>
      <w:lang w:val="en-GB" w:eastAsia="ko-KR"/>
    </w:rPr>
  </w:style>
  <w:style w:type="paragraph" w:customStyle="1" w:styleId="PageXofY">
    <w:name w:val="Page X of Y"/>
    <w:rPr>
      <w:rFonts w:eastAsia="宋体"/>
      <w:sz w:val="24"/>
      <w:szCs w:val="24"/>
      <w:lang w:val="en-GB" w:eastAsia="ko-KR"/>
    </w:rPr>
  </w:style>
  <w:style w:type="paragraph" w:customStyle="1" w:styleId="Createdby">
    <w:name w:val="Created by"/>
    <w:rPr>
      <w:rFonts w:eastAsia="宋体"/>
      <w:sz w:val="24"/>
      <w:szCs w:val="24"/>
      <w:lang w:val="en-GB" w:eastAsia="ko-KR"/>
    </w:rPr>
  </w:style>
  <w:style w:type="paragraph" w:customStyle="1" w:styleId="Createdon">
    <w:name w:val="Created on"/>
    <w:rPr>
      <w:rFonts w:eastAsia="宋体"/>
      <w:sz w:val="24"/>
      <w:szCs w:val="24"/>
      <w:lang w:val="en-GB" w:eastAsia="ko-KR"/>
    </w:rPr>
  </w:style>
  <w:style w:type="paragraph" w:customStyle="1" w:styleId="Lastprinted">
    <w:name w:val="Last printed"/>
    <w:rPr>
      <w:rFonts w:eastAsia="宋体"/>
      <w:sz w:val="24"/>
      <w:szCs w:val="24"/>
      <w:lang w:val="en-GB" w:eastAsia="ko-KR"/>
    </w:rPr>
  </w:style>
  <w:style w:type="paragraph" w:customStyle="1" w:styleId="Lastsavedby">
    <w:name w:val="Last saved by"/>
    <w:rPr>
      <w:rFonts w:eastAsia="宋体"/>
      <w:sz w:val="24"/>
      <w:szCs w:val="24"/>
      <w:lang w:val="en-GB" w:eastAsia="ko-KR"/>
    </w:rPr>
  </w:style>
  <w:style w:type="paragraph" w:customStyle="1" w:styleId="Filename">
    <w:name w:val="Filename"/>
    <w:rPr>
      <w:rFonts w:eastAsia="宋体"/>
      <w:sz w:val="24"/>
      <w:szCs w:val="24"/>
      <w:lang w:val="en-GB" w:eastAsia="ko-KR"/>
    </w:rPr>
  </w:style>
  <w:style w:type="paragraph" w:customStyle="1" w:styleId="Filenameandpath">
    <w:name w:val="Filename and path"/>
    <w:qFormat/>
    <w:rPr>
      <w:rFonts w:eastAsia="宋体"/>
      <w:sz w:val="24"/>
      <w:szCs w:val="24"/>
      <w:lang w:val="en-GB" w:eastAsia="ko-KR"/>
    </w:rPr>
  </w:style>
  <w:style w:type="paragraph" w:customStyle="1" w:styleId="AuthorPageDate">
    <w:name w:val="Author  Page #  Date"/>
    <w:rPr>
      <w:rFonts w:eastAsia="宋体"/>
      <w:sz w:val="24"/>
      <w:szCs w:val="24"/>
      <w:lang w:val="en-GB" w:eastAsia="ko-KR"/>
    </w:rPr>
  </w:style>
  <w:style w:type="paragraph" w:customStyle="1" w:styleId="ConfidentialPageDate">
    <w:name w:val="Confidential  Page #  Date"/>
    <w:qFormat/>
    <w:rPr>
      <w:rFonts w:eastAsia="宋体"/>
      <w:sz w:val="24"/>
      <w:szCs w:val="24"/>
      <w:lang w:val="en-GB" w:eastAsia="ko-KR"/>
    </w:rPr>
  </w:style>
  <w:style w:type="character" w:customStyle="1" w:styleId="BodyTextChar">
    <w:name w:val="Body Text Char"/>
    <w:rPr>
      <w:lang w:val="en-GB" w:eastAsia="ja-JP" w:bidi="ar-SA"/>
    </w:rPr>
  </w:style>
  <w:style w:type="paragraph" w:customStyle="1" w:styleId="TaOC">
    <w:name w:val="TaOC"/>
    <w:basedOn w:val="TAC"/>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basedOn w:val="a1"/>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rPr>
      <w:kern w:val="2"/>
      <w:lang w:eastAsia="ko-KR"/>
    </w:rPr>
  </w:style>
  <w:style w:type="character" w:customStyle="1" w:styleId="StyleTACChar">
    <w:name w:val="Style TAC + Char"/>
    <w:link w:val="StyleTAC"/>
    <w:rPr>
      <w:rFonts w:ascii="Arial" w:eastAsia="宋体" w:hAnsi="Arial"/>
      <w:kern w:val="2"/>
      <w:sz w:val="18"/>
      <w:lang w:val="en-GB" w:eastAsia="ko-KR" w:bidi="ar-SA"/>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US" w:bidi="ar-SA"/>
    </w:rPr>
  </w:style>
  <w:style w:type="paragraph" w:customStyle="1" w:styleId="Doc-titleJK">
    <w:name w:val="Doc-title_JK"/>
    <w:basedOn w:val="a1"/>
    <w:next w:val="Doc-text2JK"/>
    <w:link w:val="Doc-titleJKChar"/>
    <w:pPr>
      <w:ind w:left="1260" w:hanging="1260"/>
    </w:pPr>
    <w:rPr>
      <w:rFonts w:eastAsia="MS Mincho"/>
      <w:color w:val="0000FF"/>
      <w:szCs w:val="24"/>
      <w:lang w:eastAsia="en-GB"/>
    </w:rPr>
  </w:style>
  <w:style w:type="paragraph" w:customStyle="1" w:styleId="Doc-text2JK">
    <w:name w:val="Doc-text2_JK"/>
    <w:basedOn w:val="a1"/>
    <w:link w:val="Doc-text2JKChar"/>
    <w:pPr>
      <w:tabs>
        <w:tab w:val="left" w:pos="1622"/>
      </w:tabs>
      <w:ind w:left="1622" w:hanging="363"/>
    </w:pPr>
    <w:rPr>
      <w:rFonts w:eastAsia="MS Mincho"/>
      <w:szCs w:val="24"/>
      <w:lang w:eastAsia="en-GB"/>
    </w:rPr>
  </w:style>
  <w:style w:type="character" w:customStyle="1" w:styleId="Doc-text2JKChar">
    <w:name w:val="Doc-text2_JK Char"/>
    <w:link w:val="Doc-text2JK"/>
    <w:rPr>
      <w:szCs w:val="24"/>
      <w:lang w:val="en-GB" w:eastAsia="en-GB"/>
    </w:rPr>
  </w:style>
  <w:style w:type="character" w:customStyle="1" w:styleId="Doc-titleJKChar">
    <w:name w:val="Doc-title_JK Char"/>
    <w:link w:val="Doc-titleJK"/>
    <w:rPr>
      <w:color w:val="0000FF"/>
      <w:szCs w:val="24"/>
      <w:lang w:val="en-GB" w:eastAsia="en-GB"/>
    </w:rPr>
  </w:style>
  <w:style w:type="paragraph" w:styleId="afff">
    <w:name w:val="List Paragraph"/>
    <w:basedOn w:val="a1"/>
    <w:link w:val="afff0"/>
    <w:uiPriority w:val="34"/>
    <w:qFormat/>
    <w:pPr>
      <w:ind w:firstLineChars="200" w:firstLine="420"/>
      <w:jc w:val="both"/>
    </w:pPr>
    <w:rPr>
      <w:rFonts w:ascii="Calibri" w:hAnsi="Calibri"/>
      <w:kern w:val="2"/>
      <w:lang w:val="zh-CN"/>
    </w:rPr>
  </w:style>
  <w:style w:type="character" w:customStyle="1" w:styleId="afff0">
    <w:name w:val="列表段落 字符"/>
    <w:link w:val="afff"/>
    <w:uiPriority w:val="34"/>
    <w:qFormat/>
    <w:locked/>
    <w:rPr>
      <w:rFonts w:ascii="Calibri" w:eastAsia="宋体" w:hAnsi="Calibri"/>
      <w:kern w:val="2"/>
      <w:sz w:val="21"/>
      <w:szCs w:val="22"/>
      <w:lang w:val="zh-CN" w:eastAsia="zh-CN"/>
    </w:rPr>
  </w:style>
  <w:style w:type="paragraph" w:customStyle="1" w:styleId="LGTdoc">
    <w:name w:val="LGTdoc_본문"/>
    <w:basedOn w:val="a1"/>
    <w:link w:val="LGTdocChar"/>
    <w:qFormat/>
    <w:pPr>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15">
    <w:name w:val="列出段落1"/>
    <w:basedOn w:val="a1"/>
    <w:link w:val="Char2"/>
    <w:pPr>
      <w:ind w:firstLineChars="200" w:firstLine="420"/>
    </w:pPr>
    <w:rPr>
      <w:rFonts w:ascii="Calibri" w:hAnsi="Calibri"/>
    </w:rPr>
  </w:style>
  <w:style w:type="character" w:customStyle="1" w:styleId="Char2">
    <w:name w:val="列出段落 Char"/>
    <w:basedOn w:val="a2"/>
    <w:link w:val="15"/>
    <w:rPr>
      <w:rFonts w:ascii="Calibri" w:eastAsia="宋体" w:hAnsi="Calibri"/>
      <w:sz w:val="21"/>
      <w:szCs w:val="21"/>
    </w:rPr>
  </w:style>
  <w:style w:type="table" w:customStyle="1" w:styleId="16">
    <w:name w:val="网格型1"/>
    <w:basedOn w:val="a3"/>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t286pc">
    <w:name w:val="t286pc"/>
    <w:basedOn w:val="a2"/>
  </w:style>
  <w:style w:type="character" w:customStyle="1" w:styleId="vkekvd">
    <w:name w:val="vkekvd"/>
    <w:basedOn w:val="a2"/>
  </w:style>
  <w:style w:type="paragraph" w:customStyle="1" w:styleId="Table">
    <w:name w:val="Table"/>
    <w:next w:val="a1"/>
    <w:rsid w:val="00436DCE"/>
    <w:pPr>
      <w:keepLines/>
      <w:numPr>
        <w:ilvl w:val="8"/>
        <w:numId w:val="15"/>
      </w:numPr>
      <w:spacing w:beforeLines="100"/>
      <w:ind w:left="0"/>
      <w:jc w:val="center"/>
    </w:pPr>
    <w:rPr>
      <w:rFonts w:ascii="Arial" w:eastAsia="宋体" w:hAnsi="Arial"/>
      <w:sz w:val="18"/>
      <w:szCs w:val="18"/>
    </w:rPr>
  </w:style>
  <w:style w:type="paragraph" w:customStyle="1" w:styleId="TableText1">
    <w:name w:val="Table Text"/>
    <w:rsid w:val="00436DCE"/>
    <w:pPr>
      <w:tabs>
        <w:tab w:val="decimal" w:pos="0"/>
      </w:tabs>
    </w:pPr>
    <w:rPr>
      <w:rFonts w:ascii="Arial" w:eastAsia="宋体" w:hAnsi="Arial"/>
      <w:noProof/>
      <w:sz w:val="21"/>
      <w:szCs w:val="21"/>
    </w:rPr>
  </w:style>
  <w:style w:type="paragraph" w:customStyle="1" w:styleId="TableHeader">
    <w:name w:val="Table Header"/>
    <w:rsid w:val="00436DCE"/>
    <w:pPr>
      <w:jc w:val="center"/>
    </w:pPr>
    <w:rPr>
      <w:rFonts w:ascii="Arial" w:eastAsia="宋体" w:hAnsi="Arial"/>
      <w:b/>
      <w:sz w:val="21"/>
      <w:szCs w:val="21"/>
    </w:rPr>
  </w:style>
  <w:style w:type="table" w:customStyle="1" w:styleId="TableStyle">
    <w:name w:val="Table Style"/>
    <w:basedOn w:val="a3"/>
    <w:rsid w:val="00436DCE"/>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1"/>
    <w:rsid w:val="00436DCE"/>
    <w:pPr>
      <w:keepNext/>
      <w:widowControl/>
      <w:spacing w:before="80" w:after="80"/>
      <w:ind w:leftChars="0" w:left="0"/>
      <w:jc w:val="center"/>
    </w:pPr>
  </w:style>
  <w:style w:type="paragraph" w:customStyle="1" w:styleId="DocumentTitle">
    <w:name w:val="Document Title"/>
    <w:basedOn w:val="a1"/>
    <w:rsid w:val="00436DCE"/>
    <w:pPr>
      <w:tabs>
        <w:tab w:val="left" w:pos="0"/>
      </w:tabs>
      <w:spacing w:before="300" w:after="300"/>
      <w:ind w:leftChars="0" w:left="0"/>
      <w:jc w:val="center"/>
    </w:pPr>
    <w:rPr>
      <w:rFonts w:ascii="Arial" w:eastAsia="黑体" w:hAnsi="Arial"/>
      <w:sz w:val="36"/>
      <w:szCs w:val="36"/>
    </w:rPr>
  </w:style>
  <w:style w:type="paragraph" w:customStyle="1" w:styleId="NotesHeader">
    <w:name w:val="Notes Header"/>
    <w:basedOn w:val="a1"/>
    <w:rsid w:val="00436DCE"/>
    <w:pPr>
      <w:pBdr>
        <w:top w:val="single" w:sz="4" w:space="1" w:color="000000"/>
      </w:pBdr>
      <w:jc w:val="both"/>
    </w:pPr>
    <w:rPr>
      <w:rFonts w:ascii="Arial" w:eastAsia="黑体" w:hAnsi="Arial"/>
      <w:sz w:val="18"/>
    </w:rPr>
  </w:style>
  <w:style w:type="paragraph" w:customStyle="1" w:styleId="NotesText">
    <w:name w:val="Notes Text"/>
    <w:basedOn w:val="a1"/>
    <w:rsid w:val="00436DCE"/>
    <w:pPr>
      <w:pBdr>
        <w:bottom w:val="single" w:sz="4" w:space="1" w:color="000000"/>
      </w:pBdr>
      <w:ind w:firstLine="360"/>
      <w:jc w:val="both"/>
    </w:pPr>
    <w:rPr>
      <w:rFonts w:ascii="Arial" w:eastAsia="楷体_GB2312" w:hAnsi="Arial"/>
      <w:sz w:val="18"/>
      <w:szCs w:val="18"/>
    </w:rPr>
  </w:style>
  <w:style w:type="paragraph" w:customStyle="1" w:styleId="CompilingAdvice">
    <w:name w:val="Compiling Advice"/>
    <w:basedOn w:val="a1"/>
    <w:rsid w:val="00436DCE"/>
    <w:rPr>
      <w:rFonts w:ascii="Arial" w:hAnsi="Arial" w:cs="Arial"/>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4D0E6-F7BD-41A9-9A11-C21F92671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3428</Words>
  <Characters>19546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Huawei</cp:lastModifiedBy>
  <cp:revision>7</cp:revision>
  <cp:lastPrinted>2010-01-09T10:23:00Z</cp:lastPrinted>
  <dcterms:created xsi:type="dcterms:W3CDTF">2026-01-29T11:05:00Z</dcterms:created>
  <dcterms:modified xsi:type="dcterms:W3CDTF">2026-01-30T15:04:00Z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1762334901</vt:lpwstr>
  </property>
  <property fmtid="{D5CDD505-2E9C-101B-9397-08002B2CF9AE}" pid="23" name="KSOProductBuildVer">
    <vt:lpwstr>2052-0.0.0.0</vt:lpwstr>
  </property>
  <property fmtid="{D5CDD505-2E9C-101B-9397-08002B2CF9AE}" pid="24" name="woTemplateTypoMode" linkTarget="0">
    <vt:lpwstr>web</vt:lpwstr>
  </property>
  <property fmtid="{D5CDD505-2E9C-101B-9397-08002B2CF9AE}" pid="25" name="woTemplate" linkTarget="0">
    <vt:i4>1</vt:i4>
  </property>
</Properties>
</file>